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D37B" w14:textId="77777777" w:rsidR="007408BC" w:rsidRDefault="00000000">
      <w:pPr>
        <w:pStyle w:val="Heading210"/>
        <w:keepNext/>
        <w:keepLines/>
        <w:spacing w:before="1100" w:after="100"/>
      </w:pPr>
      <w:bookmarkStart w:id="0" w:name="bookmark6"/>
      <w:bookmarkStart w:id="1" w:name="bookmark7"/>
      <w:bookmarkStart w:id="2" w:name="bookmark8"/>
      <w:r>
        <w:t>STILL LIFES AND SUBLIME VISTAS</w:t>
      </w:r>
      <w:bookmarkEnd w:id="0"/>
      <w:bookmarkEnd w:id="1"/>
      <w:bookmarkEnd w:id="2"/>
    </w:p>
    <w:p w14:paraId="28F7BC80" w14:textId="77777777" w:rsidR="007408BC" w:rsidRDefault="00000000">
      <w:pPr>
        <w:pStyle w:val="Bodytext30"/>
      </w:pPr>
      <w:r>
        <w:t>ON THE NON-MODERNITY OF DIDEROT’S</w:t>
      </w:r>
      <w:r>
        <w:br/>
        <w:t>APPROACH TO GENRE PAINTING</w:t>
      </w:r>
    </w:p>
    <w:p w14:paraId="4307316C" w14:textId="77777777" w:rsidR="007408BC" w:rsidRPr="00E313D6" w:rsidRDefault="00000000">
      <w:pPr>
        <w:pStyle w:val="Bodytext10"/>
        <w:spacing w:line="286" w:lineRule="auto"/>
        <w:ind w:firstLine="260"/>
        <w:jc w:val="both"/>
        <w:rPr>
          <w:lang w:val="fr-FR"/>
        </w:rPr>
      </w:pPr>
      <w:r>
        <w:t>The most oft-cited and beloved entries in Didero</w:t>
      </w:r>
      <w:r>
        <w:rPr>
          <w:shd w:val="clear" w:color="auto" w:fill="80FFFF"/>
        </w:rPr>
        <w:t>ts</w:t>
      </w:r>
      <w:r>
        <w:t xml:space="preserve"> </w:t>
      </w:r>
      <w:r>
        <w:rPr>
          <w:i/>
          <w:iCs/>
        </w:rPr>
        <w:t>Salons</w:t>
      </w:r>
      <w:r>
        <w:t xml:space="preserve"> must be</w:t>
      </w:r>
      <w:r>
        <w:br/>
        <w:t>those that deal with Chardin and Verner, two painters working in the tra-</w:t>
      </w:r>
      <w:r>
        <w:br/>
        <w:t>ditionally less prestigious genres of still life and landscape. The passages are</w:t>
      </w:r>
      <w:r>
        <w:br/>
        <w:t>familiar ones: Diderot sticking an imaginary knife in the painted pâté of</w:t>
      </w:r>
      <w:r>
        <w:br/>
        <w:t xml:space="preserve">Chardins </w:t>
      </w:r>
      <w:r>
        <w:rPr>
          <w:i/>
          <w:iCs/>
        </w:rPr>
        <w:t>Le Bocal d’olives</w:t>
      </w:r>
      <w:r>
        <w:t xml:space="preserve"> (in the 17</w:t>
      </w:r>
      <w:r>
        <w:rPr>
          <w:shd w:val="clear" w:color="auto" w:fill="80FFFF"/>
        </w:rPr>
        <w:t>6</w:t>
      </w:r>
      <w:r>
        <w:t xml:space="preserve">3 </w:t>
      </w:r>
      <w:r>
        <w:rPr>
          <w:i/>
          <w:iCs/>
        </w:rPr>
        <w:t>Salo</w:t>
      </w:r>
      <w:r>
        <w:rPr>
          <w:i/>
          <w:iCs/>
          <w:shd w:val="clear" w:color="auto" w:fill="80FFFF"/>
        </w:rPr>
        <w:t>n</w:t>
      </w:r>
      <w:r>
        <w:t>; VS, IV: 265), or fantasizing</w:t>
      </w:r>
      <w:r>
        <w:br/>
        <w:t>a walk around Verner’s landscapes (1767; VS, IV: 594-635</w:t>
      </w:r>
      <w:r>
        <w:rPr>
          <w:shd w:val="clear" w:color="auto" w:fill="80FFFF"/>
          <w:vertAlign w:val="superscript"/>
        </w:rPr>
        <w:footnoteReference w:id="1"/>
      </w:r>
      <w:r>
        <w:t>)</w:t>
      </w:r>
      <w:r>
        <w:rPr>
          <w:shd w:val="clear" w:color="auto" w:fill="80FFFF"/>
        </w:rPr>
        <w:t>-</w:t>
      </w:r>
      <w:r>
        <w:t xml:space="preserve"> And many</w:t>
      </w:r>
      <w:r>
        <w:br/>
        <w:t xml:space="preserve">like to locate in them something particularly </w:t>
      </w:r>
      <w:r>
        <w:rPr>
          <w:i/>
          <w:iCs/>
        </w:rPr>
        <w:t>modern</w:t>
      </w:r>
      <w:r>
        <w:t>—compared, that is,</w:t>
      </w:r>
      <w:r>
        <w:br/>
        <w:t>to Diderot’s effulgent praise for a painter like Greuze, whose middlebrow</w:t>
      </w:r>
      <w:r>
        <w:br/>
        <w:t>canvases drip with a now-dated hymn to Virtue: “Few art historians have</w:t>
      </w:r>
      <w:r>
        <w:br/>
        <w:t>concealed their discomfort with [Greuze’s] paintings themselves or their</w:t>
      </w:r>
      <w:r>
        <w:br/>
        <w:t>disapproval of the audience who went into raptures before them,” writes</w:t>
      </w:r>
      <w:r>
        <w:br/>
        <w:t>Michael Fried.</w:t>
      </w:r>
      <w:r>
        <w:rPr>
          <w:vertAlign w:val="superscript"/>
        </w:rPr>
        <w:footnoteReference w:id="2"/>
      </w:r>
      <w:r>
        <w:t xml:space="preserve"> Notwithstanding Fried’s efforts to rehabilitate Diderot’s</w:t>
      </w:r>
      <w:r>
        <w:br/>
        <w:t>taste for edifyingly domestic themes, that taste can still leave critics won-</w:t>
      </w:r>
      <w:r>
        <w:br/>
        <w:t>dering, in the words of Christopher Braider, “what someone otherwise</w:t>
      </w:r>
      <w:r>
        <w:br/>
        <w:t>so shrewd and forward-looking could possibly have seen in some of the</w:t>
      </w:r>
      <w:r>
        <w:br/>
        <w:t>paintings he championed.”</w:t>
      </w:r>
      <w:r>
        <w:rPr>
          <w:shd w:val="clear" w:color="auto" w:fill="80FFFF"/>
          <w:vertAlign w:val="superscript"/>
        </w:rPr>
        <w:footnoteReference w:id="3"/>
      </w:r>
      <w:r>
        <w:t xml:space="preserve"> How much safer, then, those passages on the</w:t>
      </w:r>
      <w:r>
        <w:br/>
        <w:t>non-moralistic Verne</w:t>
      </w:r>
      <w:r>
        <w:rPr>
          <w:shd w:val="clear" w:color="auto" w:fill="80FFFF"/>
        </w:rPr>
        <w:t>r</w:t>
      </w:r>
      <w:r>
        <w:t xml:space="preserve"> and Chardin, whose paintings provoke in Diderot</w:t>
      </w:r>
      <w:r>
        <w:br/>
        <w:t xml:space="preserve">more properly “aesthetic” musings on the very ontology of painting. </w:t>
      </w:r>
      <w:r w:rsidRPr="00E313D6">
        <w:rPr>
          <w:lang w:val="fr-FR"/>
        </w:rPr>
        <w:t>“On</w:t>
      </w:r>
      <w:r w:rsidRPr="00E313D6">
        <w:rPr>
          <w:lang w:val="fr-FR"/>
        </w:rPr>
        <w:br w:type="page"/>
      </w:r>
      <w:r w:rsidRPr="00E313D6">
        <w:rPr>
          <w:lang w:val="fr-FR"/>
        </w:rPr>
        <w:lastRenderedPageBreak/>
        <w:t xml:space="preserve">touche ici,” writes Stéphane Lojkine, “à ce qui, des </w:t>
      </w:r>
      <w:r w:rsidRPr="00E313D6">
        <w:rPr>
          <w:i/>
          <w:iCs/>
          <w:lang w:val="fr-FR"/>
        </w:rPr>
        <w:t>Salon</w:t>
      </w:r>
      <w:r w:rsidRPr="00E313D6">
        <w:rPr>
          <w:i/>
          <w:iCs/>
          <w:shd w:val="clear" w:color="auto" w:fill="80FFFF"/>
          <w:lang w:val="fr-FR"/>
        </w:rPr>
        <w:t>s</w:t>
      </w:r>
      <w:r w:rsidRPr="00E313D6">
        <w:rPr>
          <w:lang w:val="fr-FR"/>
        </w:rPr>
        <w:t>, paraît le plus</w:t>
      </w:r>
      <w:r w:rsidRPr="00E313D6">
        <w:rPr>
          <w:lang w:val="fr-FR"/>
        </w:rPr>
        <w:br/>
        <w:t>contemporain de notre expérience de l’art.”</w:t>
      </w:r>
      <w:r>
        <w:rPr>
          <w:vertAlign w:val="superscript"/>
        </w:rPr>
        <w:footnoteReference w:id="4"/>
      </w:r>
    </w:p>
    <w:p w14:paraId="05FFDB8C" w14:textId="77777777" w:rsidR="007408BC" w:rsidRDefault="00000000">
      <w:pPr>
        <w:pStyle w:val="Bodytext10"/>
        <w:spacing w:line="276" w:lineRule="auto"/>
        <w:ind w:firstLine="300"/>
        <w:jc w:val="both"/>
      </w:pPr>
      <w:r>
        <w:t>A good deal of the difficulty, here, is Diderot’s relation to the traditional</w:t>
      </w:r>
      <w:r>
        <w:br/>
        <w:t>“hierarchy of the genres”—the indexing of artistic worth to the perceived</w:t>
      </w:r>
      <w:r>
        <w:br/>
        <w:t>importance of the subject matter depicted. In this view, whose roots reach</w:t>
      </w:r>
      <w:r>
        <w:br/>
        <w:t>back to Antiquity, works with living sub</w:t>
      </w:r>
      <w:r>
        <w:rPr>
          <w:shd w:val="clear" w:color="auto" w:fill="80FFFF"/>
        </w:rPr>
        <w:t>je</w:t>
      </w:r>
      <w:r>
        <w:t>cts are superior to “still life”; and</w:t>
      </w:r>
      <w:r>
        <w:br/>
        <w:t>similarly, works featuring historical or mythological heroes outclass those</w:t>
      </w:r>
      <w:r>
        <w:br/>
        <w:t>depicting prosaic nobodies such as tavern-goers. By Didero</w:t>
      </w:r>
      <w:r>
        <w:rPr>
          <w:shd w:val="clear" w:color="auto" w:fill="80FFFF"/>
        </w:rPr>
        <w:t>ts</w:t>
      </w:r>
      <w:r>
        <w:t xml:space="preserve"> “neoclassi-</w:t>
      </w:r>
      <w:r>
        <w:br/>
        <w:t>cal” time, rather than falling into decay, the hierarchy of the genres may</w:t>
      </w:r>
      <w:r>
        <w:br/>
        <w:t xml:space="preserve">have been </w:t>
      </w:r>
      <w:proofErr w:type="gramStart"/>
      <w:r>
        <w:t>actually increasing</w:t>
      </w:r>
      <w:proofErr w:type="gramEnd"/>
      <w:r>
        <w:t xml:space="preserve"> its hegemony. Classifications became more</w:t>
      </w:r>
      <w:r>
        <w:br/>
        <w:t>dogmatic,</w:t>
      </w:r>
      <w:r>
        <w:rPr>
          <w:vertAlign w:val="superscript"/>
        </w:rPr>
        <w:footnoteReference w:id="5"/>
      </w:r>
      <w:r>
        <w:t xml:space="preserve"> scorn for the “lower” genres more shrill.</w:t>
      </w:r>
      <w:r>
        <w:rPr>
          <w:vertAlign w:val="superscript"/>
        </w:rPr>
        <w:footnoteReference w:id="6"/>
      </w:r>
      <w:r>
        <w:t xml:space="preserve"> Given this context,</w:t>
      </w:r>
      <w:r>
        <w:br/>
        <w:t>Diderot’s art-historical writings can well appear revolutionary—as when,</w:t>
      </w:r>
      <w:r>
        <w:br/>
        <w:t xml:space="preserve">in his </w:t>
      </w:r>
      <w:r>
        <w:rPr>
          <w:i/>
          <w:iCs/>
        </w:rPr>
        <w:t>Essai sur la peinture,</w:t>
      </w:r>
      <w:r>
        <w:t xml:space="preserve"> supplement to the 1765 </w:t>
      </w:r>
      <w:r>
        <w:rPr>
          <w:i/>
          <w:iCs/>
        </w:rPr>
        <w:t>Salon,</w:t>
      </w:r>
      <w:r>
        <w:t xml:space="preserve"> he drastically</w:t>
      </w:r>
      <w:r>
        <w:br/>
        <w:t>simplifies the hierarchy by promoting scenes of contemporary bourgeois</w:t>
      </w:r>
      <w:r>
        <w:br/>
        <w:t>life, and even Verner’s landscapes, to the ranks of history painting (506).</w:t>
      </w:r>
      <w:r>
        <w:br/>
        <w:t>And Diderot might be said to go further still in his attention to Chardin,</w:t>
      </w:r>
      <w:r>
        <w:br/>
        <w:t>which for Harriet Stone—and many others—“upends” the old generic</w:t>
      </w:r>
      <w:r>
        <w:br/>
        <w:t>hierarchy and the royalist ideology that went along with it, thereby clear-</w:t>
      </w:r>
      <w:r>
        <w:br/>
        <w:t>ing a path from the Dutch Golden Age to modern theories of art in which</w:t>
      </w:r>
      <w:r>
        <w:br/>
        <w:t>“the unremarkable becomes remarkable.”</w:t>
      </w:r>
      <w:r>
        <w:rPr>
          <w:vertAlign w:val="superscript"/>
        </w:rPr>
        <w:footnoteReference w:id="7"/>
      </w:r>
      <w:r>
        <w:t xml:space="preserve"> If other scholars have not failed</w:t>
      </w:r>
      <w:r>
        <w:br/>
        <w:t xml:space="preserve">to point out that plenty of passages in the </w:t>
      </w:r>
      <w:r>
        <w:rPr>
          <w:i/>
          <w:iCs/>
        </w:rPr>
        <w:t>Salons</w:t>
      </w:r>
      <w:r>
        <w:t xml:space="preserve"> betray Diderot’s ongoing</w:t>
      </w:r>
      <w:r>
        <w:br/>
        <w:t>devotion to the hierarchy of the genres,</w:t>
      </w:r>
      <w:r>
        <w:rPr>
          <w:vertAlign w:val="superscript"/>
        </w:rPr>
        <w:footnoteReference w:id="8"/>
      </w:r>
      <w:r>
        <w:t xml:space="preserve"> for the critics I will be engaging,</w:t>
      </w:r>
      <w:r>
        <w:br/>
        <w:t>those passages are misleading: the essential Diderot is elsewhere, in what</w:t>
      </w:r>
      <w:r>
        <w:br/>
        <w:t>Régis Michel calls the “aspiration confuse à la modernité” visible in the</w:t>
      </w:r>
      <w:r>
        <w:br/>
        <w:t>Chardin and Verne</w:t>
      </w:r>
      <w:r>
        <w:rPr>
          <w:shd w:val="clear" w:color="auto" w:fill="80FFFF"/>
        </w:rPr>
        <w:t>r</w:t>
      </w:r>
      <w:r>
        <w:t xml:space="preserve"> entries.</w:t>
      </w:r>
      <w:r>
        <w:rPr>
          <w:vertAlign w:val="superscript"/>
        </w:rPr>
        <w:footnoteReference w:id="9"/>
      </w:r>
      <w:r>
        <w:t xml:space="preserve"> Why not, then, follow Braider in positing</w:t>
      </w:r>
      <w:r>
        <w:br w:type="page"/>
      </w:r>
      <w:r>
        <w:lastRenderedPageBreak/>
        <w:t>two Diderots, one characterized by a “residual conservatism” and a second</w:t>
      </w:r>
      <w:r>
        <w:br/>
        <w:t>harboring “a decidedly non-traditional commitment to lower forms”?</w:t>
      </w:r>
      <w:r>
        <w:rPr>
          <w:vertAlign w:val="superscript"/>
        </w:rPr>
        <w:footnoteReference w:id="10"/>
      </w:r>
      <w:r>
        <w:rPr>
          <w:vertAlign w:val="superscript"/>
        </w:rPr>
        <w:br/>
      </w:r>
      <w:r>
        <w:t>Diderot, it would seem, may not know which of his tastes have a future,</w:t>
      </w:r>
      <w:r>
        <w:br/>
        <w:t>diluting as he does his Modernity in too many parts Tradition. But are</w:t>
      </w:r>
      <w:r>
        <w:br/>
        <w:t xml:space="preserve">even his passages on the lower genres of landscape and still life </w:t>
      </w:r>
      <w:r>
        <w:rPr>
          <w:i/>
          <w:iCs/>
        </w:rPr>
        <w:t>modern</w:t>
      </w:r>
      <w:r>
        <w:t xml:space="preserve"> in</w:t>
      </w:r>
      <w:r>
        <w:br/>
        <w:t>the first place? My argument is no: Diderot’s immersive theorizations of</w:t>
      </w:r>
      <w:r>
        <w:br/>
        <w:t>still life and landscape, I will show, are much better understood as a flam-</w:t>
      </w:r>
      <w:r>
        <w:br/>
        <w:t>boyant late-stage development of an old paradigm rather than the founda-</w:t>
      </w:r>
      <w:r>
        <w:br/>
        <w:t>tion of a new one.</w:t>
      </w:r>
    </w:p>
    <w:p w14:paraId="43963F22" w14:textId="77777777" w:rsidR="007408BC" w:rsidRDefault="00000000">
      <w:pPr>
        <w:pStyle w:val="Bodytext10"/>
        <w:jc w:val="both"/>
      </w:pPr>
      <w:r>
        <w:t xml:space="preserve">Let me start by </w:t>
      </w:r>
      <w:proofErr w:type="gramStart"/>
      <w:r>
        <w:t>recalling briefly</w:t>
      </w:r>
      <w:proofErr w:type="gramEnd"/>
      <w:r>
        <w:t xml:space="preserve"> some of the well-known passages.</w:t>
      </w:r>
    </w:p>
    <w:p w14:paraId="7600DACF" w14:textId="77777777" w:rsidR="007408BC" w:rsidRPr="00E313D6" w:rsidRDefault="00000000">
      <w:pPr>
        <w:pStyle w:val="Bodytext10"/>
        <w:jc w:val="both"/>
        <w:rPr>
          <w:lang w:val="fr-FR"/>
        </w:rPr>
      </w:pPr>
      <w:r>
        <w:t>The opening feint in the 17</w:t>
      </w:r>
      <w:r>
        <w:rPr>
          <w:shd w:val="clear" w:color="auto" w:fill="80FFFF"/>
        </w:rPr>
        <w:t>6</w:t>
      </w:r>
      <w:r>
        <w:t xml:space="preserve">7 </w:t>
      </w:r>
      <w:r>
        <w:rPr>
          <w:i/>
          <w:iCs/>
        </w:rPr>
        <w:t>Salons</w:t>
      </w:r>
      <w:r>
        <w:t xml:space="preserve"> presentation of Verne</w:t>
      </w:r>
      <w:r>
        <w:rPr>
          <w:shd w:val="clear" w:color="auto" w:fill="80FFFF"/>
        </w:rPr>
        <w:t>r</w:t>
      </w:r>
      <w:r>
        <w:t xml:space="preserve"> is justifi-</w:t>
      </w:r>
      <w:r>
        <w:br/>
        <w:t xml:space="preserve">ably famous. </w:t>
      </w:r>
      <w:r w:rsidRPr="00E313D6">
        <w:rPr>
          <w:lang w:val="fr-FR"/>
        </w:rPr>
        <w:t>“VERNET. J’avais écrit le nom de cet artiste au haut de ma</w:t>
      </w:r>
      <w:r w:rsidRPr="00E313D6">
        <w:rPr>
          <w:lang w:val="fr-FR"/>
        </w:rPr>
        <w:br/>
        <w:t>page, et j’allais vous entretenir de ses ouvrages, lorsque je suis parti pour</w:t>
      </w:r>
      <w:r w:rsidRPr="00E313D6">
        <w:rPr>
          <w:lang w:val="fr-FR"/>
        </w:rPr>
        <w:br/>
        <w:t>une campagne voisine de la mer et renommée par la beauté de ses sites”</w:t>
      </w:r>
      <w:r w:rsidRPr="00E313D6">
        <w:rPr>
          <w:lang w:val="fr-FR"/>
        </w:rPr>
        <w:br/>
        <w:t xml:space="preserve">(594). </w:t>
      </w:r>
      <w:r>
        <w:t>But there was no trip to the seaside: after narrating a tour of six</w:t>
      </w:r>
      <w:r>
        <w:br/>
        <w:t>such sites taken in the company of a lay priest—punctuated by cries of</w:t>
      </w:r>
      <w:r>
        <w:br/>
      </w:r>
      <w:proofErr w:type="gramStart"/>
      <w:r>
        <w:t>admiration, and</w:t>
      </w:r>
      <w:proofErr w:type="gramEnd"/>
      <w:r>
        <w:t xml:space="preserve"> dilated by repeated discussions about the proper relation</w:t>
      </w:r>
      <w:r>
        <w:br/>
        <w:t>between Nature and Art—Diderot reveals to the reader that he has been</w:t>
      </w:r>
      <w:r>
        <w:br/>
        <w:t xml:space="preserve">talking about Verner’s canvases all along. </w:t>
      </w:r>
      <w:r w:rsidRPr="00E313D6">
        <w:rPr>
          <w:lang w:val="fr-FR"/>
        </w:rPr>
        <w:t>“J</w:t>
      </w:r>
      <w:r w:rsidRPr="00E313D6">
        <w:rPr>
          <w:shd w:val="clear" w:color="auto" w:fill="80FFFF"/>
          <w:lang w:val="fr-FR"/>
        </w:rPr>
        <w:t xml:space="preserve"> </w:t>
      </w:r>
      <w:r w:rsidRPr="00E313D6">
        <w:rPr>
          <w:lang w:val="fr-FR"/>
        </w:rPr>
        <w:t>ai oublié que je vous ai fait un</w:t>
      </w:r>
      <w:r w:rsidRPr="00E313D6">
        <w:rPr>
          <w:lang w:val="fr-FR"/>
        </w:rPr>
        <w:br/>
        <w:t>conte à présent et que je m’étais supposé devant la nature (et l’illusion était</w:t>
      </w:r>
      <w:r w:rsidRPr="00E313D6">
        <w:rPr>
          <w:lang w:val="fr-FR"/>
        </w:rPr>
        <w:br/>
        <w:t>bien facile), puis tout à coup je me suis retrouvé de la campagne au Salon”</w:t>
      </w:r>
      <w:r w:rsidRPr="00E313D6">
        <w:rPr>
          <w:lang w:val="fr-FR"/>
        </w:rPr>
        <w:br/>
        <w:t>(625-26).</w:t>
      </w:r>
    </w:p>
    <w:p w14:paraId="19D720C7" w14:textId="77777777" w:rsidR="007408BC" w:rsidRDefault="00000000">
      <w:pPr>
        <w:pStyle w:val="Bodytext10"/>
        <w:jc w:val="both"/>
      </w:pPr>
      <w:r>
        <w:t xml:space="preserve">Diderot’s extraordinary </w:t>
      </w:r>
      <w:r>
        <w:rPr>
          <w:i/>
          <w:iCs/>
        </w:rPr>
        <w:t>cont</w:t>
      </w:r>
      <w:r>
        <w:rPr>
          <w:i/>
          <w:iCs/>
          <w:shd w:val="clear" w:color="auto" w:fill="80FFFF"/>
        </w:rPr>
        <w:t>e</w:t>
      </w:r>
      <w:r>
        <w:t xml:space="preserve">, since known as the </w:t>
      </w:r>
      <w:r>
        <w:rPr>
          <w:i/>
          <w:iCs/>
        </w:rPr>
        <w:t>promenade Vernet,</w:t>
      </w:r>
      <w:r>
        <w:rPr>
          <w:i/>
          <w:iCs/>
        </w:rPr>
        <w:br/>
      </w:r>
      <w:r>
        <w:t>would appear to realize for the reader a type of immersion that the critic</w:t>
      </w:r>
      <w:r>
        <w:br/>
        <w:t xml:space="preserve">had already explored more than once. Indeed, Diderot’s interest in </w:t>
      </w:r>
      <w:r>
        <w:rPr>
          <w:i/>
          <w:iCs/>
        </w:rPr>
        <w:t>entering</w:t>
      </w:r>
      <w:r>
        <w:rPr>
          <w:i/>
          <w:iCs/>
        </w:rPr>
        <w:br/>
      </w:r>
      <w:r>
        <w:t>paintings—especially but not exclusively landscape paintings—is clear by</w:t>
      </w:r>
      <w:r>
        <w:br/>
      </w:r>
      <w:r>
        <w:rPr>
          <w:shd w:val="clear" w:color="auto" w:fill="80FFFF"/>
        </w:rPr>
        <w:t>17</w:t>
      </w:r>
      <w:r>
        <w:t>63. Describing a Loutherbourg, Diderot plays the tour guide by putting</w:t>
      </w:r>
      <w:r>
        <w:br/>
        <w:t>readers within the depicted space: “En sortant de ce bois, et vous avançant</w:t>
      </w:r>
      <w:r>
        <w:br/>
        <w:t xml:space="preserve">vers la droite, voyez ces masses de rochers [...]” </w:t>
      </w:r>
      <w:r w:rsidRPr="00E313D6">
        <w:rPr>
          <w:lang w:val="fr-FR"/>
        </w:rPr>
        <w:t>(267); “Ah, mon ami, que</w:t>
      </w:r>
      <w:r w:rsidRPr="00E313D6">
        <w:rPr>
          <w:lang w:val="fr-FR"/>
        </w:rPr>
        <w:br/>
        <w:t>la nature est belle dans ce petit canton! Arrêtons-nous-y” (268). Similarly,</w:t>
      </w:r>
      <w:r w:rsidRPr="00E313D6">
        <w:rPr>
          <w:lang w:val="fr-FR"/>
        </w:rPr>
        <w:br/>
        <w:t>a Vernet invites us to forget its frame and to react to it as we would react</w:t>
      </w:r>
      <w:r w:rsidRPr="00E313D6">
        <w:rPr>
          <w:lang w:val="fr-FR"/>
        </w:rPr>
        <w:br/>
        <w:t xml:space="preserve">to the spectacle of nature </w:t>
      </w:r>
      <w:proofErr w:type="gramStart"/>
      <w:r w:rsidRPr="00E313D6">
        <w:rPr>
          <w:lang w:val="fr-FR"/>
        </w:rPr>
        <w:t>itself:</w:t>
      </w:r>
      <w:proofErr w:type="gramEnd"/>
      <w:r w:rsidRPr="00E313D6">
        <w:rPr>
          <w:lang w:val="fr-FR"/>
        </w:rPr>
        <w:t xml:space="preserve"> “Regardez le </w:t>
      </w:r>
      <w:r w:rsidRPr="00E313D6">
        <w:rPr>
          <w:i/>
          <w:iCs/>
          <w:lang w:val="fr-FR"/>
        </w:rPr>
        <w:t>Port de La Rochelle</w:t>
      </w:r>
      <w:r w:rsidRPr="00E313D6">
        <w:rPr>
          <w:lang w:val="fr-FR"/>
        </w:rPr>
        <w:t xml:space="preserve"> avec une</w:t>
      </w:r>
      <w:r w:rsidRPr="00E313D6">
        <w:rPr>
          <w:lang w:val="fr-FR"/>
        </w:rPr>
        <w:br w:type="page"/>
      </w:r>
      <w:r w:rsidRPr="00E313D6">
        <w:rPr>
          <w:lang w:val="fr-FR"/>
        </w:rPr>
        <w:lastRenderedPageBreak/>
        <w:t>lunette qui embrasse le champ du tableau, et qui exclut la bordure; et ou-</w:t>
      </w:r>
      <w:r w:rsidRPr="00E313D6">
        <w:rPr>
          <w:lang w:val="fr-FR"/>
        </w:rPr>
        <w:br/>
        <w:t>bliant tout-</w:t>
      </w:r>
      <w:r w:rsidRPr="00E313D6">
        <w:rPr>
          <w:shd w:val="clear" w:color="auto" w:fill="80FFFF"/>
          <w:lang w:val="fr-FR"/>
        </w:rPr>
        <w:t>à</w:t>
      </w:r>
      <w:r w:rsidRPr="00E313D6">
        <w:rPr>
          <w:lang w:val="fr-FR"/>
        </w:rPr>
        <w:t>-coup que vous examinez un morceau de peinture, vous vous</w:t>
      </w:r>
      <w:r w:rsidRPr="00E313D6">
        <w:rPr>
          <w:lang w:val="fr-FR"/>
        </w:rPr>
        <w:br/>
        <w:t>écrierez, comme si vous étiez placé au haut d’une montagne, spectateur de</w:t>
      </w:r>
      <w:r w:rsidRPr="00E313D6">
        <w:rPr>
          <w:lang w:val="fr-FR"/>
        </w:rPr>
        <w:br/>
        <w:t xml:space="preserve">la nature même: </w:t>
      </w:r>
      <w:r w:rsidRPr="00E313D6">
        <w:rPr>
          <w:shd w:val="clear" w:color="auto" w:fill="80FFFF"/>
          <w:lang w:val="fr-FR"/>
        </w:rPr>
        <w:t>‘O</w:t>
      </w:r>
      <w:r w:rsidRPr="00E313D6">
        <w:rPr>
          <w:lang w:val="fr-FR"/>
        </w:rPr>
        <w:t xml:space="preserve"> le beau point de vue!’” (271). Thus, the </w:t>
      </w:r>
      <w:r w:rsidRPr="00E313D6">
        <w:rPr>
          <w:i/>
          <w:iCs/>
          <w:lang w:val="fr-FR"/>
        </w:rPr>
        <w:t>promenade</w:t>
      </w:r>
      <w:r w:rsidRPr="00E313D6">
        <w:rPr>
          <w:i/>
          <w:iCs/>
          <w:lang w:val="fr-FR"/>
        </w:rPr>
        <w:br/>
        <w:t>Vernet</w:t>
      </w:r>
      <w:r w:rsidRPr="00E313D6">
        <w:rPr>
          <w:lang w:val="fr-FR"/>
        </w:rPr>
        <w:t xml:space="preserve"> of </w:t>
      </w:r>
      <w:r w:rsidRPr="00E313D6">
        <w:rPr>
          <w:shd w:val="clear" w:color="auto" w:fill="80FFFF"/>
          <w:lang w:val="fr-FR"/>
        </w:rPr>
        <w:t>176</w:t>
      </w:r>
      <w:r w:rsidRPr="00E313D6">
        <w:rPr>
          <w:lang w:val="fr-FR"/>
        </w:rPr>
        <w:t>7 is the endpoint of a multi-year experience with landscapes,</w:t>
      </w:r>
      <w:r w:rsidRPr="00E313D6">
        <w:rPr>
          <w:lang w:val="fr-FR"/>
        </w:rPr>
        <w:br/>
        <w:t xml:space="preserve">one that finally leads Diderot in that very </w:t>
      </w:r>
      <w:r w:rsidRPr="00E313D6">
        <w:rPr>
          <w:i/>
          <w:iCs/>
          <w:lang w:val="fr-FR"/>
        </w:rPr>
        <w:t>Salon</w:t>
      </w:r>
      <w:r w:rsidRPr="00E313D6">
        <w:rPr>
          <w:lang w:val="fr-FR"/>
        </w:rPr>
        <w:t xml:space="preserve"> to an explicit descriptive</w:t>
      </w:r>
      <w:r w:rsidRPr="00E313D6">
        <w:rPr>
          <w:lang w:val="fr-FR"/>
        </w:rPr>
        <w:br/>
      </w:r>
      <w:proofErr w:type="gramStart"/>
      <w:r w:rsidRPr="00E313D6">
        <w:rPr>
          <w:lang w:val="fr-FR"/>
        </w:rPr>
        <w:t>protocol:</w:t>
      </w:r>
      <w:proofErr w:type="gramEnd"/>
      <w:r w:rsidRPr="00E313D6">
        <w:rPr>
          <w:lang w:val="fr-FR"/>
        </w:rPr>
        <w:t xml:space="preserve"> “C’est une assez bonne méthode pour décrire des tableaux, sur-</w:t>
      </w:r>
      <w:r w:rsidRPr="00E313D6">
        <w:rPr>
          <w:lang w:val="fr-FR"/>
        </w:rPr>
        <w:br/>
        <w:t>tout champêtres, que d’entrer sur le lieu de la scène par le côté droit ou par</w:t>
      </w:r>
      <w:r w:rsidRPr="00E313D6">
        <w:rPr>
          <w:lang w:val="fr-FR"/>
        </w:rPr>
        <w:br/>
        <w:t>le côté gauche, et s’avançant sur la bordure d’en bas, de décrire les objets à</w:t>
      </w:r>
      <w:r w:rsidRPr="00E313D6">
        <w:rPr>
          <w:lang w:val="fr-FR"/>
        </w:rPr>
        <w:br/>
        <w:t>mesure qu’il se présentent. Je suis bien fâché de ne m’en être pas avisé plus</w:t>
      </w:r>
      <w:r w:rsidRPr="00E313D6">
        <w:rPr>
          <w:lang w:val="fr-FR"/>
        </w:rPr>
        <w:br/>
        <w:t xml:space="preserve">tôt” (677). </w:t>
      </w:r>
      <w:r>
        <w:t>Landscape appears to have as phantasmatic ideal the total ab-</w:t>
      </w:r>
      <w:r>
        <w:br/>
        <w:t>sorption of the viewer into the representation. And Verner’s mastery allows</w:t>
      </w:r>
      <w:r>
        <w:br/>
        <w:t>him to “produire toutes les illusions possibles” (1763; 237).</w:t>
      </w:r>
    </w:p>
    <w:p w14:paraId="6D112338" w14:textId="77777777" w:rsidR="007408BC" w:rsidRDefault="00000000">
      <w:pPr>
        <w:pStyle w:val="Bodytext10"/>
        <w:spacing w:line="295" w:lineRule="auto"/>
        <w:jc w:val="both"/>
      </w:pPr>
      <w:r>
        <w:t>If landscape invites the imaginary promenade, Chardin’s still lifes have</w:t>
      </w:r>
      <w:r>
        <w:br/>
        <w:t xml:space="preserve">their own effects. Chardin comes up </w:t>
      </w:r>
      <w:proofErr w:type="gramStart"/>
      <w:r>
        <w:t xml:space="preserve">in the first </w:t>
      </w:r>
      <w:r>
        <w:rPr>
          <w:i/>
          <w:iCs/>
        </w:rPr>
        <w:t>Salon,</w:t>
      </w:r>
      <w:proofErr w:type="gramEnd"/>
      <w:r>
        <w:t xml:space="preserve"> of </w:t>
      </w:r>
      <w:r>
        <w:rPr>
          <w:shd w:val="clear" w:color="auto" w:fill="80FFFF"/>
        </w:rPr>
        <w:t>17</w:t>
      </w:r>
      <w:r>
        <w:t>59, where</w:t>
      </w:r>
      <w:r>
        <w:br/>
        <w:t>Diderot briefly mentions six of his paintings—four still lifes and two with</w:t>
      </w:r>
      <w:r>
        <w:br/>
        <w:t>human figures engaged in what Fried has taught us to recognize as “absorp-</w:t>
      </w:r>
      <w:r>
        <w:br/>
        <w:t xml:space="preserve">tive” activities (drawing, crocheting). </w:t>
      </w:r>
      <w:r w:rsidRPr="00E313D6">
        <w:rPr>
          <w:lang w:val="fr-FR"/>
        </w:rPr>
        <w:t>Pace Fried, it is the objects, not the</w:t>
      </w:r>
      <w:r w:rsidRPr="00E313D6">
        <w:rPr>
          <w:lang w:val="fr-FR"/>
        </w:rPr>
        <w:br/>
        <w:t xml:space="preserve">humans, that call to </w:t>
      </w:r>
      <w:proofErr w:type="gramStart"/>
      <w:r w:rsidRPr="00E313D6">
        <w:rPr>
          <w:lang w:val="fr-FR"/>
        </w:rPr>
        <w:t>Diderot:</w:t>
      </w:r>
      <w:proofErr w:type="gramEnd"/>
      <w:r w:rsidRPr="00E313D6">
        <w:rPr>
          <w:lang w:val="fr-FR"/>
        </w:rPr>
        <w:t xml:space="preserve"> “Vous prendriez les bouteilles par le goulot,</w:t>
      </w:r>
      <w:r w:rsidRPr="00E313D6">
        <w:rPr>
          <w:lang w:val="fr-FR"/>
        </w:rPr>
        <w:br/>
        <w:t>si vous aviez soif; les pêches éveillent l’appétit et appellent la main” (197).</w:t>
      </w:r>
      <w:r>
        <w:rPr>
          <w:shd w:val="clear" w:color="auto" w:fill="80FFFF"/>
          <w:vertAlign w:val="superscript"/>
        </w:rPr>
        <w:footnoteReference w:id="11"/>
      </w:r>
      <w:r w:rsidRPr="00E313D6">
        <w:rPr>
          <w:vertAlign w:val="superscript"/>
          <w:lang w:val="fr-FR"/>
        </w:rPr>
        <w:br/>
      </w:r>
      <w:r>
        <w:t xml:space="preserve">If one </w:t>
      </w:r>
      <w:r>
        <w:rPr>
          <w:i/>
          <w:iCs/>
        </w:rPr>
        <w:t>wanders</w:t>
      </w:r>
      <w:r>
        <w:t xml:space="preserve"> in Verner’s landscapes, one </w:t>
      </w:r>
      <w:r>
        <w:rPr>
          <w:i/>
          <w:iCs/>
        </w:rPr>
        <w:t>touches</w:t>
      </w:r>
      <w:r>
        <w:t xml:space="preserve"> Chardin’s still lifes, and</w:t>
      </w:r>
      <w:r>
        <w:br/>
        <w:t>this haptic dimension carries over to the most famous Chardin entry, the</w:t>
      </w:r>
      <w:r>
        <w:br/>
      </w:r>
      <w:r>
        <w:rPr>
          <w:shd w:val="clear" w:color="auto" w:fill="80FFFF"/>
        </w:rPr>
        <w:t>17</w:t>
      </w:r>
      <w:r>
        <w:t xml:space="preserve">63 discussion of </w:t>
      </w:r>
      <w:r>
        <w:rPr>
          <w:i/>
          <w:iCs/>
        </w:rPr>
        <w:t>Le Bocal d’olives</w:t>
      </w:r>
      <w:r>
        <w:t xml:space="preserve"> and </w:t>
      </w:r>
      <w:r>
        <w:rPr>
          <w:i/>
          <w:iCs/>
        </w:rPr>
        <w:t xml:space="preserve">La Raie dépouillée. </w:t>
      </w:r>
      <w:r w:rsidRPr="00E313D6">
        <w:rPr>
          <w:i/>
          <w:iCs/>
          <w:lang w:val="fr-FR"/>
        </w:rPr>
        <w:t>Le Bocal</w:t>
      </w:r>
      <w:r w:rsidRPr="00E313D6">
        <w:rPr>
          <w:lang w:val="fr-FR"/>
        </w:rPr>
        <w:t xml:space="preserve"> pre-</w:t>
      </w:r>
      <w:r w:rsidRPr="00E313D6">
        <w:rPr>
          <w:lang w:val="fr-FR"/>
        </w:rPr>
        <w:br/>
        <w:t>sents objects so convincing that “il n’y a qu’à prendre ces biscuits et les</w:t>
      </w:r>
      <w:r w:rsidRPr="00E313D6">
        <w:rPr>
          <w:lang w:val="fr-FR"/>
        </w:rPr>
        <w:br/>
      </w:r>
      <w:proofErr w:type="gramStart"/>
      <w:r w:rsidRPr="00E313D6">
        <w:rPr>
          <w:lang w:val="fr-FR"/>
        </w:rPr>
        <w:t>manger;</w:t>
      </w:r>
      <w:proofErr w:type="gramEnd"/>
      <w:r w:rsidRPr="00E313D6">
        <w:rPr>
          <w:lang w:val="fr-FR"/>
        </w:rPr>
        <w:t xml:space="preserve"> cette bigarade, l’ouvrir et la presser, ce verre de vin, et le boire; ces</w:t>
      </w:r>
      <w:r w:rsidRPr="00E313D6">
        <w:rPr>
          <w:lang w:val="fr-FR"/>
        </w:rPr>
        <w:br/>
        <w:t xml:space="preserve">fruits, et les peler; ce pâté, et y mettre le couteau” (265). </w:t>
      </w:r>
      <w:r>
        <w:t>The solicitation</w:t>
      </w:r>
      <w:r>
        <w:br/>
        <w:t>of the image comes from what would seem to be its perfect transparen-</w:t>
      </w:r>
      <w:r>
        <w:br/>
        <w:t>cy or equivalency: “C’est que ce vase de porcelaine est de la porcelaine”</w:t>
      </w:r>
      <w:r>
        <w:br/>
        <w:t xml:space="preserve">(264). Similarly, looking at the </w:t>
      </w:r>
      <w:r>
        <w:rPr>
          <w:i/>
          <w:iCs/>
        </w:rPr>
        <w:t>Raie dépouillée</w:t>
      </w:r>
      <w:r>
        <w:t xml:space="preserve"> is like, well, looking at a </w:t>
      </w:r>
      <w:r>
        <w:rPr>
          <w:i/>
          <w:iCs/>
        </w:rPr>
        <w:t>raie</w:t>
      </w:r>
      <w:r>
        <w:rPr>
          <w:i/>
          <w:iCs/>
        </w:rPr>
        <w:br/>
        <w:t>dépouillée,</w:t>
      </w:r>
      <w:r>
        <w:t xml:space="preserve"> an eviscerated skate: “c’est la chair même du poisson. C’est la</w:t>
      </w:r>
      <w:r>
        <w:br w:type="page"/>
      </w:r>
      <w:r>
        <w:lastRenderedPageBreak/>
        <w:t>peau. C’est son sang” (265). Six years later, Chardin is still as perfectly and</w:t>
      </w:r>
      <w:r>
        <w:br/>
        <w:t xml:space="preserve">tautologically transparent: “Qu’est-ce que cette perdrix? </w:t>
      </w:r>
      <w:r w:rsidRPr="00E313D6">
        <w:rPr>
          <w:lang w:val="fr-FR"/>
        </w:rPr>
        <w:t>Ne le voyez-vous</w:t>
      </w:r>
      <w:r w:rsidRPr="00E313D6">
        <w:rPr>
          <w:lang w:val="fr-FR"/>
        </w:rPr>
        <w:br/>
      </w:r>
      <w:proofErr w:type="gramStart"/>
      <w:r w:rsidRPr="00E313D6">
        <w:rPr>
          <w:lang w:val="fr-FR"/>
        </w:rPr>
        <w:t>pas?</w:t>
      </w:r>
      <w:proofErr w:type="gramEnd"/>
      <w:r w:rsidRPr="00E313D6">
        <w:rPr>
          <w:lang w:val="fr-FR"/>
        </w:rPr>
        <w:t xml:space="preserve"> C’est une perdrix. Et celle-</w:t>
      </w:r>
      <w:proofErr w:type="gramStart"/>
      <w:r w:rsidRPr="00E313D6">
        <w:rPr>
          <w:lang w:val="fr-FR"/>
        </w:rPr>
        <w:t>là?</w:t>
      </w:r>
      <w:proofErr w:type="gramEnd"/>
      <w:r w:rsidRPr="00E313D6">
        <w:rPr>
          <w:lang w:val="fr-FR"/>
        </w:rPr>
        <w:t xml:space="preserve"> </w:t>
      </w:r>
      <w:r>
        <w:t>C’en est une encore” (844).</w:t>
      </w:r>
    </w:p>
    <w:p w14:paraId="45810CA3" w14:textId="77777777" w:rsidR="007408BC" w:rsidRDefault="00000000">
      <w:pPr>
        <w:pStyle w:val="Bodytext10"/>
        <w:spacing w:line="293" w:lineRule="auto"/>
        <w:ind w:firstLine="300"/>
        <w:jc w:val="both"/>
      </w:pPr>
      <w:r>
        <w:t>No doubt it is this peculiar self-evidence that stills the critic himself,</w:t>
      </w:r>
      <w:r>
        <w:br/>
        <w:t>far less loquacious in his Chardin bulletins than in his evocations of</w:t>
      </w:r>
      <w:r>
        <w:br/>
        <w:t>Verne</w:t>
      </w:r>
      <w:r>
        <w:rPr>
          <w:shd w:val="clear" w:color="auto" w:fill="80FFFF"/>
        </w:rPr>
        <w:t>r</w:t>
      </w:r>
      <w:r>
        <w:t xml:space="preserve"> (or Greuze). Indeed, what is there to say about perfect limpidity?</w:t>
      </w:r>
      <w:r>
        <w:rPr>
          <w:vertAlign w:val="superscript"/>
        </w:rPr>
        <w:footnoteReference w:id="12"/>
      </w:r>
      <w:r>
        <w:rPr>
          <w:vertAlign w:val="superscript"/>
        </w:rPr>
        <w:br/>
      </w:r>
      <w:r>
        <w:t xml:space="preserve">In his longest entry on Chardin, in the </w:t>
      </w:r>
      <w:r>
        <w:rPr>
          <w:i/>
          <w:iCs/>
        </w:rPr>
        <w:t>Salon</w:t>
      </w:r>
      <w:r>
        <w:t xml:space="preserve"> of 1765, Diderot imagines</w:t>
      </w:r>
      <w:r>
        <w:br/>
        <w:t>a descriptive conceit parallel to the one used to describe landscapes: “J</w:t>
      </w:r>
      <w:r>
        <w:rPr>
          <w:shd w:val="clear" w:color="auto" w:fill="80FFFF"/>
        </w:rPr>
        <w:t>e</w:t>
      </w:r>
      <w:r>
        <w:rPr>
          <w:shd w:val="clear" w:color="auto" w:fill="80FFFF"/>
        </w:rPr>
        <w:br/>
      </w:r>
      <w:r>
        <w:t>ne vous dirai de Chardin qu’un seul mot, et le voici: Choisissez son site,</w:t>
      </w:r>
      <w:r>
        <w:br/>
        <w:t>disposez sur ce site les objets comme je vous les indique, et soyez sûr que</w:t>
      </w:r>
      <w:r>
        <w:br/>
        <w:t>vous aurez vu ses tableaux” (346). In the eight descriptions of still lifes</w:t>
      </w:r>
      <w:r>
        <w:br/>
        <w:t>that follow, Diderot makes this his method, multiplying the imperatives</w:t>
      </w:r>
      <w:r>
        <w:br/>
        <w:t>addressed to the reader: “Placez dans l’intérieur de la fenêtre un verre plein</w:t>
      </w:r>
      <w:r>
        <w:br/>
        <w:t>de vin”; “Suspendez par la patte un oiseau de rivière”; “Placez sur un banc</w:t>
      </w:r>
      <w:r>
        <w:br/>
        <w:t xml:space="preserve">de pierre un panier d’osier plein de prunes” (347-48). And </w:t>
      </w:r>
      <w:proofErr w:type="gramStart"/>
      <w:r>
        <w:t>returning again</w:t>
      </w:r>
      <w:proofErr w:type="gramEnd"/>
      <w:r>
        <w:br/>
        <w:t>and again in all the Chardin entries is the same praise for the illusory</w:t>
      </w:r>
      <w:r>
        <w:br/>
        <w:t>qualities of the paintings, for the thingyness of Chardin’s things: “C’est</w:t>
      </w:r>
      <w:r>
        <w:br/>
        <w:t>toujours la nature et la vérité” (1759; 197); “C’est la nature même” (1</w:t>
      </w:r>
      <w:r>
        <w:rPr>
          <w:shd w:val="clear" w:color="auto" w:fill="80FFFF"/>
        </w:rPr>
        <w:t>76</w:t>
      </w:r>
      <w:r>
        <w:t>5;</w:t>
      </w:r>
      <w:r>
        <w:br/>
      </w:r>
      <w:r>
        <w:rPr>
          <w:shd w:val="clear" w:color="auto" w:fill="80FFFF"/>
        </w:rPr>
        <w:t>34</w:t>
      </w:r>
      <w:r>
        <w:t>6); “Chardin est si vrai, si vrai” (1</w:t>
      </w:r>
      <w:r>
        <w:rPr>
          <w:shd w:val="clear" w:color="auto" w:fill="80FFFF"/>
        </w:rPr>
        <w:t>76</w:t>
      </w:r>
      <w:r>
        <w:t>5; 345), “d’une vérité à tromper</w:t>
      </w:r>
      <w:r>
        <w:br/>
        <w:t>les yeux” (1763; 264). Only in one late Chardin does Diderot signal a</w:t>
      </w:r>
      <w:r>
        <w:br/>
        <w:t>painted statue of Mercury “qui ne fait pas toute l’illusion possible” (1769;</w:t>
      </w:r>
      <w:r>
        <w:br/>
        <w:t>843), in a phrase that recalls almost verbatim, in negative, his praise for</w:t>
      </w:r>
      <w:r>
        <w:br/>
        <w:t>Verne</w:t>
      </w:r>
      <w:r>
        <w:rPr>
          <w:shd w:val="clear" w:color="auto" w:fill="80FFFF"/>
        </w:rPr>
        <w:t>r</w:t>
      </w:r>
      <w:r>
        <w:t xml:space="preserve">. But by </w:t>
      </w:r>
      <w:r>
        <w:rPr>
          <w:shd w:val="clear" w:color="auto" w:fill="80FFFF"/>
        </w:rPr>
        <w:t>1771</w:t>
      </w:r>
      <w:r>
        <w:t xml:space="preserve">—the last </w:t>
      </w:r>
      <w:r>
        <w:rPr>
          <w:i/>
          <w:iCs/>
        </w:rPr>
        <w:t>Salon</w:t>
      </w:r>
      <w:r>
        <w:t xml:space="preserve"> to contain an entry on Chardin of any</w:t>
      </w:r>
      <w:r>
        <w:br/>
        <w:t>significance—the painter has again found his groove: “l’illusion y est de la</w:t>
      </w:r>
      <w:r>
        <w:br/>
        <w:t>plus grande force” (895).</w:t>
      </w:r>
    </w:p>
    <w:p w14:paraId="02CE9545" w14:textId="77777777" w:rsidR="007408BC" w:rsidRDefault="00000000">
      <w:pPr>
        <w:pStyle w:val="Bodytext10"/>
        <w:spacing w:line="293" w:lineRule="auto"/>
        <w:ind w:firstLine="300"/>
        <w:jc w:val="both"/>
      </w:pPr>
      <w:r>
        <w:t>On the</w:t>
      </w:r>
      <w:r>
        <w:rPr>
          <w:shd w:val="clear" w:color="auto" w:fill="80FFFF"/>
        </w:rPr>
        <w:t xml:space="preserve"> </w:t>
      </w:r>
      <w:r>
        <w:t>face of things, Diderot’s treatments ofVernet and Chardin should</w:t>
      </w:r>
      <w:r>
        <w:br/>
        <w:t>appear old-school—specifically in their repeated recourse to traditional</w:t>
      </w:r>
      <w:r>
        <w:br/>
        <w:t>tropes about art as imitation of nature. Indeed, my argument will be that</w:t>
      </w:r>
      <w:r>
        <w:br/>
        <w:t>notwithstanding the winningness of Diderot’s prose, his treatments really</w:t>
      </w:r>
      <w:r>
        <w:br/>
        <w:t>are, at bottom, traditional. But I have to argue the obvious because a long</w:t>
      </w:r>
      <w:r>
        <w:br/>
        <w:t xml:space="preserve">line of critics </w:t>
      </w:r>
      <w:proofErr w:type="gramStart"/>
      <w:r>
        <w:t>have</w:t>
      </w:r>
      <w:proofErr w:type="gramEnd"/>
      <w:r>
        <w:t xml:space="preserve"> repeatedly detected here something else, something in</w:t>
      </w:r>
      <w:r>
        <w:br/>
        <w:t>fact subversive of inherited commonplaces. It is not every time the same</w:t>
      </w:r>
      <w:r>
        <w:br/>
        <w:t>something, but it is always enough to make Diderot properly or at least</w:t>
      </w:r>
      <w:r>
        <w:br/>
        <w:t>presciently modern.</w:t>
      </w:r>
      <w:r>
        <w:br w:type="page"/>
      </w:r>
    </w:p>
    <w:p w14:paraId="4A41398E" w14:textId="77777777" w:rsidR="007408BC" w:rsidRDefault="00000000">
      <w:pPr>
        <w:pStyle w:val="Bodytext10"/>
        <w:ind w:firstLine="300"/>
        <w:jc w:val="both"/>
      </w:pPr>
      <w:r>
        <w:lastRenderedPageBreak/>
        <w:t xml:space="preserve">One tack consists of saying that Diderot </w:t>
      </w:r>
      <w:r>
        <w:rPr>
          <w:i/>
          <w:iCs/>
        </w:rPr>
        <w:t>evolve</w:t>
      </w:r>
      <w:r>
        <w:rPr>
          <w:i/>
          <w:iCs/>
          <w:shd w:val="clear" w:color="auto" w:fill="80FFFF"/>
        </w:rPr>
        <w:t>s</w:t>
      </w:r>
      <w:r>
        <w:t>, which is to sa</w:t>
      </w:r>
      <w:r>
        <w:rPr>
          <w:shd w:val="clear" w:color="auto" w:fill="80FFFF"/>
        </w:rPr>
        <w:t>y</w:t>
      </w:r>
      <w:r>
        <w:t xml:space="preserve"> leaves</w:t>
      </w:r>
      <w:r>
        <w:br/>
        <w:t>behind the classical premises that are his starting point. Perhaps the best</w:t>
      </w:r>
      <w:r>
        <w:br/>
        <w:t>example of this reading is Norman Brysons chapter in his 1983 book</w:t>
      </w:r>
      <w:r>
        <w:br/>
      </w:r>
      <w:r>
        <w:rPr>
          <w:i/>
          <w:iCs/>
        </w:rPr>
        <w:t>Word and Image</w:t>
      </w:r>
      <w:r>
        <w:rPr>
          <w:i/>
          <w:iCs/>
          <w:shd w:val="clear" w:color="auto" w:fill="80FFFF"/>
        </w:rPr>
        <w:t>d</w:t>
      </w:r>
      <w:r>
        <w:t xml:space="preserve"> Bryson’s general argument is “Saussurian”: there are</w:t>
      </w:r>
      <w:r>
        <w:br/>
        <w:t>proper and improper ways of understanding how signs function, with the</w:t>
      </w:r>
      <w:r>
        <w:br/>
        <w:t>latter taking them for transparent windows on the world and the former</w:t>
      </w:r>
      <w:r>
        <w:br/>
        <w:t>acknowledging the material presence of the signifier. And the unfolding</w:t>
      </w:r>
      <w:r>
        <w:br/>
      </w:r>
      <w:proofErr w:type="gramStart"/>
      <w:r>
        <w:rPr>
          <w:i/>
          <w:iCs/>
        </w:rPr>
        <w:t>Salons</w:t>
      </w:r>
      <w:proofErr w:type="gramEnd"/>
      <w:r>
        <w:t xml:space="preserve"> track Didero</w:t>
      </w:r>
      <w:r>
        <w:rPr>
          <w:shd w:val="clear" w:color="auto" w:fill="80FFFF"/>
        </w:rPr>
        <w:t>ts</w:t>
      </w:r>
      <w:r>
        <w:t xml:space="preserve"> semiotic education: at first “written from within the</w:t>
      </w:r>
      <w:r>
        <w:br/>
        <w:t xml:space="preserve">configuration of transparency,” around 1765 the </w:t>
      </w:r>
      <w:r>
        <w:rPr>
          <w:i/>
          <w:iCs/>
        </w:rPr>
        <w:t>Salons</w:t>
      </w:r>
      <w:r>
        <w:t xml:space="preserve"> start to change</w:t>
      </w:r>
      <w:r>
        <w:br/>
        <w:t>as Diderot takes increasing interest in “the technical side of painting.”</w:t>
      </w:r>
      <w:r>
        <w:rPr>
          <w:vertAlign w:val="superscript"/>
        </w:rPr>
        <w:footnoteReference w:id="1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4"/>
      </w:r>
      <w:r>
        <w:rPr>
          <w:vertAlign w:val="superscript"/>
        </w:rPr>
        <w:br/>
      </w:r>
      <w:r>
        <w:t>Bryson sets this transition up as a shift from Verner to Chardin. The</w:t>
      </w:r>
      <w:r>
        <w:br/>
        <w:t>formers landscapes—and those of Loutherbourg as well—score very</w:t>
      </w:r>
      <w:r>
        <w:br/>
        <w:t xml:space="preserve">high for “hallucinability”; they are what Bryson calls </w:t>
      </w:r>
      <w:r>
        <w:rPr>
          <w:i/>
          <w:iCs/>
        </w:rPr>
        <w:t>hieroglyphic</w:t>
      </w:r>
      <w:r>
        <w:t xml:space="preserve"> signs,</w:t>
      </w:r>
      <w:r>
        <w:br/>
        <w:t>which promise “sensory presence and plenitude.”</w:t>
      </w:r>
      <w:r>
        <w:rPr>
          <w:vertAlign w:val="superscript"/>
        </w:rPr>
        <w:footnoteReference w:id="15"/>
      </w:r>
      <w:r>
        <w:t xml:space="preserve"> But Chardin poses a</w:t>
      </w:r>
      <w:r>
        <w:br/>
        <w:t>“threat” to “the hieroglyphic system” by foregrounding “the materiality of</w:t>
      </w:r>
      <w:r>
        <w:br/>
        <w:t>painting” and the labor of the painter.</w:t>
      </w:r>
      <w:r>
        <w:rPr>
          <w:vertAlign w:val="superscript"/>
        </w:rPr>
        <w:footnoteReference w:id="16"/>
      </w:r>
      <w:r>
        <w:t xml:space="preserve"> Diderots first instinct is to treat</w:t>
      </w:r>
      <w:r>
        <w:br/>
        <w:t>Chardin as if he were Verner by insisting that his painted objects are “</w:t>
      </w:r>
      <w:r>
        <w:rPr>
          <w:i/>
          <w:iCs/>
          <w:shd w:val="clear" w:color="auto" w:fill="80FFFF"/>
        </w:rPr>
        <w:t>h</w:t>
      </w:r>
      <w:r>
        <w:rPr>
          <w:i/>
          <w:iCs/>
        </w:rPr>
        <w:t>ors</w:t>
      </w:r>
      <w:r>
        <w:rPr>
          <w:i/>
          <w:iCs/>
        </w:rPr>
        <w:br/>
        <w:t>de [la] toile</w:t>
      </w:r>
      <w:r>
        <w:t>—off the canvas, existing in an imaginary three-dimensional</w:t>
      </w:r>
      <w:r>
        <w:br/>
        <w:t>space behind the signifying plane.”</w:t>
      </w:r>
      <w:r>
        <w:rPr>
          <w:vertAlign w:val="superscript"/>
        </w:rPr>
        <w:footnoteReference w:id="17"/>
      </w:r>
      <w:r>
        <w:t xml:space="preserve"> While this appreciation of Chardin</w:t>
      </w:r>
      <w:r>
        <w:br/>
        <w:t>as “the master of trompe 1’oeil” is genuinely felt on Didero</w:t>
      </w:r>
      <w:r>
        <w:rPr>
          <w:shd w:val="clear" w:color="auto" w:fill="80FFFF"/>
        </w:rPr>
        <w:t>ts</w:t>
      </w:r>
      <w:r>
        <w:t xml:space="preserve"> part, at the</w:t>
      </w:r>
      <w:r>
        <w:br/>
        <w:t>same time it is a “terrible distortion” and “misunderstanding” of Chardin,</w:t>
      </w:r>
      <w:r>
        <w:br/>
        <w:t>arrived at by “repressing part of [the critics] visual experience.”</w:t>
      </w:r>
      <w:r>
        <w:rPr>
          <w:vertAlign w:val="superscript"/>
        </w:rPr>
        <w:footnoteReference w:id="18"/>
      </w:r>
      <w:r>
        <w:t xml:space="preserve"> That</w:t>
      </w:r>
      <w:r>
        <w:br/>
        <w:t>experience, Bryson claims, is the experience of the signifier, which is to say</w:t>
      </w:r>
      <w:r>
        <w:br/>
        <w:t>the canvas, the pigment, the work of the brush.</w:t>
      </w:r>
    </w:p>
    <w:p w14:paraId="4349CCFD" w14:textId="77777777" w:rsidR="007408BC" w:rsidRDefault="00000000">
      <w:pPr>
        <w:pStyle w:val="Bodytext10"/>
        <w:ind w:firstLine="300"/>
        <w:jc w:val="both"/>
      </w:pPr>
      <w:r>
        <w:t xml:space="preserve">Reading the </w:t>
      </w:r>
      <w:r>
        <w:rPr>
          <w:i/>
          <w:iCs/>
        </w:rPr>
        <w:t>Salons</w:t>
      </w:r>
      <w:r>
        <w:t xml:space="preserve"> as “critical narrative,” Daniel Brewer has advanced a</w:t>
      </w:r>
      <w:r>
        <w:br/>
        <w:t>similarly evolutionary argument.</w:t>
      </w:r>
      <w:r>
        <w:rPr>
          <w:vertAlign w:val="superscript"/>
        </w:rPr>
        <w:footnoteReference w:id="19"/>
      </w:r>
      <w:r>
        <w:t xml:space="preserve"> For Brewer, the descriptive conceit that</w:t>
      </w:r>
      <w:r>
        <w:br/>
        <w:t xml:space="preserve">lies at the heart of the </w:t>
      </w:r>
      <w:r>
        <w:rPr>
          <w:i/>
          <w:iCs/>
        </w:rPr>
        <w:t>Salons</w:t>
      </w:r>
      <w:r>
        <w:t>—that is, the conceit that Diderot can describe</w:t>
      </w:r>
      <w:r>
        <w:br w:type="page"/>
      </w:r>
      <w:r>
        <w:lastRenderedPageBreak/>
        <w:t xml:space="preserve">paintings for the far-flung readers of the </w:t>
      </w:r>
      <w:r>
        <w:rPr>
          <w:i/>
          <w:iCs/>
        </w:rPr>
        <w:t>Correspondance littéraire</w:t>
      </w:r>
      <w:r>
        <w:rPr>
          <w:shd w:val="clear" w:color="auto" w:fill="80FFFF"/>
        </w:rPr>
        <w:t>—</w:t>
      </w:r>
      <w:r>
        <w:t>goes</w:t>
      </w:r>
      <w:r>
        <w:br/>
        <w:t>hand in hand with the mimetic theory of painting that Diderot initially</w:t>
      </w:r>
      <w:r>
        <w:br/>
        <w:t>embraces. Diderot, however, comes to realize that his descriptive abilities</w:t>
      </w:r>
      <w:r>
        <w:br/>
        <w:t>are limited: only seeing Verner</w:t>
      </w:r>
      <w:r>
        <w:rPr>
          <w:shd w:val="clear" w:color="auto" w:fill="80FFFF"/>
        </w:rPr>
        <w:t>'</w:t>
      </w:r>
      <w:r>
        <w:t xml:space="preserve">s canvases will do. As the ideal of </w:t>
      </w:r>
      <w:r>
        <w:rPr>
          <w:i/>
          <w:iCs/>
        </w:rPr>
        <w:t>u</w:t>
      </w:r>
      <w:r>
        <w:rPr>
          <w:i/>
          <w:iCs/>
          <w:shd w:val="clear" w:color="auto" w:fill="80FFFF"/>
        </w:rPr>
        <w:t>tp</w:t>
      </w:r>
      <w:r>
        <w:rPr>
          <w:i/>
          <w:iCs/>
        </w:rPr>
        <w:t>icture</w:t>
      </w:r>
      <w:r>
        <w:rPr>
          <w:i/>
          <w:iCs/>
        </w:rPr>
        <w:br/>
        <w:t>poesis</w:t>
      </w:r>
      <w:r>
        <w:t xml:space="preserve"> crumbles, Diderot “slowly disengages himself” from “the ancient view</w:t>
      </w:r>
      <w:r>
        <w:br/>
        <w:t>of pictorial representation as the artful double of an absent model.”</w:t>
      </w:r>
      <w:r>
        <w:rPr>
          <w:vertAlign w:val="superscript"/>
        </w:rPr>
        <w:footnoteReference w:id="20"/>
      </w:r>
      <w:r>
        <w:t xml:space="preserve"> This</w:t>
      </w:r>
      <w:r>
        <w:br/>
        <w:t>is why “simple delight in mimetic illusion becomes harder to come by in</w:t>
      </w:r>
      <w:r>
        <w:br/>
        <w:t xml:space="preserve">the course of the </w:t>
      </w:r>
      <w:r>
        <w:rPr>
          <w:i/>
          <w:iCs/>
        </w:rPr>
        <w:t>Salon</w:t>
      </w:r>
      <w:r>
        <w:rPr>
          <w:i/>
          <w:iCs/>
          <w:shd w:val="clear" w:color="auto" w:fill="80FFFF"/>
        </w:rPr>
        <w:t>s</w:t>
      </w:r>
      <w:r>
        <w:t>,” and why Chardins star starts to dim: “eventually</w:t>
      </w:r>
      <w:r>
        <w:br/>
        <w:t>Diderot wearies of the very predictability of a Chardin still life,” writes</w:t>
      </w:r>
      <w:r>
        <w:br/>
        <w:t>Brewer, and soon his paintings produce only “boredom.”</w:t>
      </w:r>
      <w:r>
        <w:rPr>
          <w:vertAlign w:val="superscript"/>
        </w:rPr>
        <w:footnoteReference w:id="21"/>
      </w:r>
      <w:r>
        <w:t xml:space="preserve"> In place of the</w:t>
      </w:r>
      <w:r>
        <w:br/>
        <w:t>mimetic topoi he discards, Diderot elaborates a model of artistic reception</w:t>
      </w:r>
      <w:r>
        <w:br/>
        <w:t>that foregrounds the libidinal investment and “phantasmic projection” of</w:t>
      </w:r>
      <w:r>
        <w:br/>
        <w:t>the viewer, thereby undoing the ideology of classicism he started with.</w:t>
      </w:r>
      <w:r>
        <w:rPr>
          <w:vertAlign w:val="superscript"/>
        </w:rPr>
        <w:footnoteReference w:id="22"/>
      </w:r>
    </w:p>
    <w:p w14:paraId="0149CC92" w14:textId="77777777" w:rsidR="007408BC" w:rsidRDefault="00000000">
      <w:pPr>
        <w:pStyle w:val="Bodytext10"/>
        <w:ind w:firstLine="300"/>
        <w:jc w:val="both"/>
      </w:pPr>
      <w:r>
        <w:t xml:space="preserve">Thus, for Bryson and Brewer, the </w:t>
      </w:r>
      <w:r>
        <w:rPr>
          <w:i/>
          <w:iCs/>
        </w:rPr>
        <w:t>Salon</w:t>
      </w:r>
      <w:r>
        <w:t xml:space="preserve"> passages that display Diderot’s</w:t>
      </w:r>
      <w:r>
        <w:br/>
        <w:t>mimetic enthrallment before the paintings of Verne</w:t>
      </w:r>
      <w:r>
        <w:rPr>
          <w:shd w:val="clear" w:color="auto" w:fill="80FFFF"/>
        </w:rPr>
        <w:t>r</w:t>
      </w:r>
      <w:r>
        <w:t xml:space="preserve"> and Chardin are</w:t>
      </w:r>
      <w:r>
        <w:br/>
        <w:t>misleading: at bottom, Diderot works to arrive at very different—much</w:t>
      </w:r>
      <w:r>
        <w:br/>
        <w:t>less “naïve,” no doubt—understandings of the artwork. Yet even on an</w:t>
      </w:r>
      <w:r>
        <w:br/>
        <w:t xml:space="preserve">empirical level, the chronology of the </w:t>
      </w:r>
      <w:r>
        <w:rPr>
          <w:i/>
          <w:iCs/>
        </w:rPr>
        <w:t>Salons</w:t>
      </w:r>
      <w:r>
        <w:t xml:space="preserve"> does not support any idea</w:t>
      </w:r>
      <w:r>
        <w:br/>
        <w:t>of an evolution. Bryson detects a change in 1765, but choosing this year</w:t>
      </w:r>
      <w:r>
        <w:br/>
        <w:t>as a pivot works against his f</w:t>
      </w:r>
      <w:r>
        <w:rPr>
          <w:shd w:val="clear" w:color="auto" w:fill="80FFFF"/>
        </w:rPr>
        <w:t>r</w:t>
      </w:r>
      <w:r>
        <w:t>om-Vernet-to-Chardin argument: the un-</w:t>
      </w:r>
      <w:r>
        <w:br/>
        <w:t xml:space="preserve">deniably “hallucinatory” </w:t>
      </w:r>
      <w:r>
        <w:rPr>
          <w:i/>
          <w:iCs/>
        </w:rPr>
        <w:t>promenade Vernet</w:t>
      </w:r>
      <w:r>
        <w:t xml:space="preserve"> dates of course from 1767,</w:t>
      </w:r>
      <w:r>
        <w:br/>
        <w:t xml:space="preserve">while attention to Chardins celebrated </w:t>
      </w:r>
      <w:r>
        <w:rPr>
          <w:i/>
          <w:iCs/>
        </w:rPr>
        <w:t>faire</w:t>
      </w:r>
      <w:proofErr w:type="gramStart"/>
      <w:r>
        <w:rPr>
          <w:shd w:val="clear" w:color="auto" w:fill="80FFFF"/>
        </w:rPr>
        <w:t>—</w:t>
      </w:r>
      <w:r>
        <w:t>“</w:t>
      </w:r>
      <w:proofErr w:type="gramEnd"/>
      <w:r>
        <w:t>un faire rude et comme</w:t>
      </w:r>
      <w:r>
        <w:br/>
        <w:t>heurté” (</w:t>
      </w:r>
      <w:r>
        <w:rPr>
          <w:shd w:val="clear" w:color="auto" w:fill="80FFFF"/>
        </w:rPr>
        <w:t>218</w:t>
      </w:r>
      <w:r>
        <w:t>) that becomes illusion-producing only when viewed from</w:t>
      </w:r>
      <w:r>
        <w:br/>
        <w:t xml:space="preserve">afar—is visible three </w:t>
      </w:r>
      <w:r>
        <w:rPr>
          <w:i/>
          <w:iCs/>
        </w:rPr>
        <w:t>Salons</w:t>
      </w:r>
      <w:r>
        <w:t xml:space="preserve"> earlier, in </w:t>
      </w:r>
      <w:r>
        <w:rPr>
          <w:shd w:val="clear" w:color="auto" w:fill="80FFFF"/>
        </w:rPr>
        <w:t>1761</w:t>
      </w:r>
      <w:r>
        <w:t xml:space="preserve">. To say that the </w:t>
      </w:r>
      <w:r>
        <w:rPr>
          <w:i/>
          <w:iCs/>
        </w:rPr>
        <w:t>Salons</w:t>
      </w:r>
      <w:r>
        <w:t xml:space="preserve"> “mov[e]</w:t>
      </w:r>
      <w:r>
        <w:br/>
        <w:t>to the banishing of illusion through attention to technics”</w:t>
      </w:r>
      <w:r>
        <w:rPr>
          <w:vertAlign w:val="superscript"/>
        </w:rPr>
        <w:footnoteReference w:id="23"/>
      </w:r>
      <w:r>
        <w:t xml:space="preserve"> by 1769 is</w:t>
      </w:r>
      <w:r>
        <w:br/>
        <w:t>doubly wrong: first, because the attention to technics is present from early</w:t>
      </w:r>
      <w:r>
        <w:br/>
        <w:t>on; second, because many of the passages praising Chardin’s illusionism</w:t>
      </w:r>
      <w:r>
        <w:br/>
        <w:t xml:space="preserve">come from the later </w:t>
      </w:r>
      <w:r>
        <w:rPr>
          <w:i/>
          <w:iCs/>
        </w:rPr>
        <w:t>Salons.</w:t>
      </w:r>
      <w:r>
        <w:t xml:space="preserve"> “Il n’y a rien en lui qui sente la palette,” writes</w:t>
      </w:r>
      <w:r>
        <w:br/>
        <w:t>Diderot in 1769, just before dismissing the detail that “ne fait pas toute</w:t>
      </w:r>
      <w:r>
        <w:br/>
        <w:t>l’illusion possible” (843) and telling us that Chardin’s partridge is par-</w:t>
      </w:r>
      <w:r>
        <w:br/>
        <w:t>tridge (844). Similarly, Brewer’s remark that “simple delight in mimetic</w:t>
      </w:r>
      <w:r>
        <w:br/>
        <w:t>illusion” diminishes over time is backed up by no demonstration; and his</w:t>
      </w:r>
      <w:r>
        <w:br w:type="page"/>
      </w:r>
      <w:r>
        <w:lastRenderedPageBreak/>
        <w:t>contention that Diderot becomes “bored” with Chardin’s illusionistic can-</w:t>
      </w:r>
      <w:r>
        <w:br/>
        <w:t>vases is well-nigh inexplicable in the face of the later entries themselves.</w:t>
      </w:r>
    </w:p>
    <w:p w14:paraId="0739BB88" w14:textId="77777777" w:rsidR="007408BC" w:rsidRDefault="00000000">
      <w:pPr>
        <w:pStyle w:val="Bodytext10"/>
        <w:spacing w:line="286" w:lineRule="auto"/>
        <w:ind w:firstLine="320"/>
        <w:jc w:val="both"/>
      </w:pPr>
      <w:r>
        <w:t>Inexplicable—but at the same time easily comprehensible in the con-</w:t>
      </w:r>
      <w:r>
        <w:br/>
        <w:t>text of a common critical determination to spy modernity emerging out</w:t>
      </w:r>
      <w:r>
        <w:br/>
        <w:t>from under Diderots retrograde illusionist discourse. Brysons version of</w:t>
      </w:r>
      <w:r>
        <w:br/>
        <w:t>modernity is the most resonant. For in claiming that Chardin unseats</w:t>
      </w:r>
      <w:r>
        <w:br/>
        <w:t>Verne</w:t>
      </w:r>
      <w:r>
        <w:rPr>
          <w:shd w:val="clear" w:color="auto" w:fill="80FFFF"/>
        </w:rPr>
        <w:t>r</w:t>
      </w:r>
      <w:r>
        <w:t xml:space="preserve"> through his ability to make the critic “aware of the sheet of pig-</w:t>
      </w:r>
      <w:r>
        <w:br/>
        <w:t>ment worked by the brush,” Bryson is not only giving us a semiotical-</w:t>
      </w:r>
      <w:r>
        <w:br/>
        <w:t>ly aware, proto-Saussurian Diderot. More crucially, he is also giving us</w:t>
      </w:r>
      <w:r>
        <w:br/>
        <w:t>a proto-Greenbergian Diderot: the lesson must be that the vocation of</w:t>
      </w:r>
      <w:r>
        <w:br/>
        <w:t>the painter is to meditate on the specificity of the medium, and thus that</w:t>
      </w:r>
      <w:r>
        <w:br/>
        <w:t>(modern) paintings destiny is the exploration of paint and the quadrilat-</w:t>
      </w:r>
      <w:r>
        <w:br/>
        <w:t>eral surface of the canvas. This explains why Bryson finishes his analysis</w:t>
      </w:r>
      <w:r>
        <w:br/>
        <w:t xml:space="preserve">with Diderot’s attention to the </w:t>
      </w:r>
      <w:r>
        <w:rPr>
          <w:i/>
          <w:iCs/>
        </w:rPr>
        <w:t>harmony</w:t>
      </w:r>
      <w:r>
        <w:t xml:space="preserve"> of Chardins paintings, an atten-</w:t>
      </w:r>
      <w:r>
        <w:br/>
        <w:t xml:space="preserve">tion he claims is distinct from the </w:t>
      </w:r>
      <w:r>
        <w:rPr>
          <w:i/>
          <w:iCs/>
        </w:rPr>
        <w:t>philosoph</w:t>
      </w:r>
      <w:r>
        <w:rPr>
          <w:i/>
          <w:iCs/>
          <w:shd w:val="clear" w:color="auto" w:fill="80FFFF"/>
        </w:rPr>
        <w:t>é</w:t>
      </w:r>
      <w:r>
        <w:t>s celebration of the painte</w:t>
      </w:r>
      <w:r>
        <w:rPr>
          <w:shd w:val="clear" w:color="auto" w:fill="80FFFF"/>
        </w:rPr>
        <w:t>rs</w:t>
      </w:r>
      <w:r>
        <w:rPr>
          <w:shd w:val="clear" w:color="auto" w:fill="80FFFF"/>
        </w:rPr>
        <w:br/>
      </w:r>
      <w:r>
        <w:rPr>
          <w:i/>
          <w:iCs/>
        </w:rPr>
        <w:t>trompe-l</w:t>
      </w:r>
      <w:r>
        <w:rPr>
          <w:i/>
          <w:iCs/>
          <w:shd w:val="clear" w:color="auto" w:fill="80FFFF"/>
        </w:rPr>
        <w:t>’</w:t>
      </w:r>
      <w:r>
        <w:rPr>
          <w:i/>
          <w:iCs/>
        </w:rPr>
        <w:t>oeil</w:t>
      </w:r>
      <w:r>
        <w:t xml:space="preserve"> magic. For harmony is a “formal” matter involving the “inter-</w:t>
      </w:r>
      <w:r>
        <w:br/>
        <w:t>nal relations” of the canvas</w:t>
      </w:r>
      <w:proofErr w:type="gramStart"/>
      <w:r>
        <w:t>—“</w:t>
      </w:r>
      <w:proofErr w:type="gramEnd"/>
      <w:r>
        <w:t>a purely painterly reorganization, occurring</w:t>
      </w:r>
      <w:r>
        <w:br/>
        <w:t>exclusively on the picture-plane.”</w:t>
      </w:r>
      <w:r>
        <w:rPr>
          <w:vertAlign w:val="superscript"/>
        </w:rPr>
        <w:footnoteReference w:id="24"/>
      </w:r>
      <w:r>
        <w:t xml:space="preserve"> “Purely painterly”: the Greenbergian</w:t>
      </w:r>
      <w:r>
        <w:br/>
        <w:t>idiom is clear if unavowed, and it is fully compatible with Brysons Saussu-</w:t>
      </w:r>
      <w:r>
        <w:br/>
        <w:t>rian reference to “the plane of signifiers.”</w:t>
      </w:r>
      <w:r>
        <w:rPr>
          <w:vertAlign w:val="superscript"/>
        </w:rPr>
        <w:footnoteReference w:id="25"/>
      </w:r>
    </w:p>
    <w:p w14:paraId="4CDC169D" w14:textId="77777777" w:rsidR="007408BC" w:rsidRDefault="00000000">
      <w:pPr>
        <w:pStyle w:val="Bodytext10"/>
        <w:spacing w:line="286" w:lineRule="auto"/>
        <w:ind w:firstLine="320"/>
        <w:jc w:val="both"/>
      </w:pPr>
      <w:r>
        <w:t>It is certainly true that Diderot is aware of brushstrokes and often</w:t>
      </w:r>
      <w:r>
        <w:br/>
        <w:t>speaks of harmony. Doubtful, though, is the proposition that his attention</w:t>
      </w:r>
      <w:r>
        <w:br/>
        <w:t>to the canvas of a Chardin signals Diderot’s break with a classical paradigm</w:t>
      </w:r>
      <w:r>
        <w:br/>
        <w:t>and foundation of the Modernist lineage. Bryson concedes that harmony</w:t>
      </w:r>
      <w:r>
        <w:br/>
        <w:t>in Diderots usage can serve the cause of traditional mimetic theory: “In</w:t>
      </w:r>
      <w:r>
        <w:br/>
        <w:t>one sense it refers to the harmony of light that is already present in nature,</w:t>
      </w:r>
      <w:r>
        <w:br/>
        <w:t>to those elusive effects of radiation and reflection which are the province</w:t>
      </w:r>
      <w:r>
        <w:br/>
        <w:t>of the realist and the hyper-realist painter.”</w:t>
      </w:r>
      <w:r>
        <w:rPr>
          <w:vertAlign w:val="superscript"/>
        </w:rPr>
        <w:footnoteReference w:id="26"/>
      </w:r>
      <w:r>
        <w:t xml:space="preserve"> Bryson is probably thinking</w:t>
      </w:r>
      <w:r>
        <w:br/>
        <w:t xml:space="preserve">of passages such as the </w:t>
      </w:r>
      <w:r>
        <w:rPr>
          <w:shd w:val="clear" w:color="auto" w:fill="80FFFF"/>
        </w:rPr>
        <w:t>17</w:t>
      </w:r>
      <w:r>
        <w:t xml:space="preserve">65 entry, where </w:t>
      </w:r>
      <w:r>
        <w:rPr>
          <w:i/>
          <w:iCs/>
        </w:rPr>
        <w:t>harmonie</w:t>
      </w:r>
      <w:r>
        <w:t xml:space="preserve"> is yoked together with</w:t>
      </w:r>
      <w:r>
        <w:br/>
        <w:t>“l imitation de la nature” and “la science de la couleur” in the production</w:t>
      </w:r>
      <w:r>
        <w:br/>
        <w:t xml:space="preserve">of the simulacrum: “Comme Fair circule autour de ces objets! </w:t>
      </w:r>
      <w:r w:rsidRPr="00E313D6">
        <w:rPr>
          <w:lang w:val="fr-FR"/>
        </w:rPr>
        <w:t>La lumière</w:t>
      </w:r>
      <w:r w:rsidRPr="00E313D6">
        <w:rPr>
          <w:lang w:val="fr-FR"/>
        </w:rPr>
        <w:br/>
        <w:t>du soleil ne sauve pas mieux les disparates des êtres qu’elle éclaire” (345).</w:t>
      </w:r>
      <w:r w:rsidRPr="00E313D6">
        <w:rPr>
          <w:lang w:val="fr-FR"/>
        </w:rPr>
        <w:br w:type="page"/>
      </w:r>
      <w:r>
        <w:lastRenderedPageBreak/>
        <w:t>We do indeed seem far, in such passages, from “a new, purely aesthetic</w:t>
      </w:r>
      <w:r>
        <w:br/>
        <w:t>harmony that is introduced into nature from the outside.”</w:t>
      </w:r>
      <w:r>
        <w:rPr>
          <w:vertAlign w:val="superscript"/>
        </w:rPr>
        <w:footnoteReference w:id="27"/>
      </w:r>
      <w:r>
        <w:t xml:space="preserve"> But where are</w:t>
      </w:r>
      <w:r>
        <w:br/>
        <w:t>we to find the harmony of the more purely—“purely,” again—aesthetic</w:t>
      </w:r>
      <w:r>
        <w:br/>
      </w:r>
      <w:proofErr w:type="gramStart"/>
      <w:r>
        <w:t>sort?</w:t>
      </w:r>
      <w:proofErr w:type="gramEnd"/>
      <w:r>
        <w:t xml:space="preserve"> Bryson quotes from one sentence from 1769,</w:t>
      </w:r>
      <w:r>
        <w:rPr>
          <w:shd w:val="clear" w:color="auto" w:fill="80FFFF"/>
          <w:vertAlign w:val="superscript"/>
        </w:rPr>
        <w:footnoteReference w:id="28"/>
      </w:r>
      <w:r>
        <w:rPr>
          <w:shd w:val="clear" w:color="auto" w:fill="80FFFF"/>
          <w:vertAlign w:val="superscript"/>
        </w:rPr>
        <w:t xml:space="preserve"> </w:t>
      </w:r>
      <w:r>
        <w:rPr>
          <w:shd w:val="clear" w:color="auto" w:fill="80FFFF"/>
          <w:vertAlign w:val="superscript"/>
        </w:rPr>
        <w:footnoteReference w:id="29"/>
      </w:r>
      <w:r>
        <w:t xml:space="preserve"> occurring just after</w:t>
      </w:r>
      <w:r>
        <w:br/>
        <w:t>the one previously cited about Chardin not smelling of the palette: “C’est</w:t>
      </w:r>
      <w:r>
        <w:br/>
        <w:t>une harmonie au-delà de laquelle on ne songe pas à désirer; elle serpente</w:t>
      </w:r>
      <w:r>
        <w:br/>
        <w:t>imperceptiblement dans sa composition, toute sous chaque partie de</w:t>
      </w:r>
      <w:r>
        <w:br/>
        <w:t xml:space="preserve">l’étendue de sa toile” (843). It’s true that here, </w:t>
      </w:r>
      <w:r>
        <w:rPr>
          <w:i/>
          <w:iCs/>
        </w:rPr>
        <w:t>harmonie</w:t>
      </w:r>
      <w:r>
        <w:t xml:space="preserve"> does appear to</w:t>
      </w:r>
      <w:r>
        <w:br/>
        <w:t>apply to the painting itself, rather than the space represented. But it is also</w:t>
      </w:r>
      <w:r>
        <w:br/>
        <w:t xml:space="preserve">true that the sentence hardly amounts to an explicit </w:t>
      </w:r>
      <w:proofErr w:type="gramStart"/>
      <w:r>
        <w:t>theory, and</w:t>
      </w:r>
      <w:proofErr w:type="gramEnd"/>
      <w:r>
        <w:t xml:space="preserve"> comes</w:t>
      </w:r>
      <w:r>
        <w:br/>
        <w:t>drowned in any case in standard-issue classical mimetic discourse. “Tous</w:t>
      </w:r>
      <w:r>
        <w:br/>
        <w:t>voient la nature, mais Chardin la voit bien et s’épuise à la rendre comme</w:t>
      </w:r>
      <w:r>
        <w:br/>
        <w:t xml:space="preserve">il la voit,” begins the description of </w:t>
      </w:r>
      <w:r>
        <w:rPr>
          <w:i/>
          <w:iCs/>
        </w:rPr>
        <w:t>Les Attributs des arts</w:t>
      </w:r>
      <w:r>
        <w:t xml:space="preserve"> in which the</w:t>
      </w:r>
      <w:r>
        <w:br/>
        <w:t>sentence on harmony occurs (842); the sentence is immediately followed</w:t>
      </w:r>
      <w:r>
        <w:br/>
        <w:t>by the criticism of Chardin’s treatment of the Mercury sculpture, the</w:t>
      </w:r>
      <w:r>
        <w:br/>
        <w:t>one that “ne fait pas toute l’illusion possible”; and describing the next</w:t>
      </w:r>
      <w:r>
        <w:br/>
        <w:t>canvas, Diderot returns to painterly harmony as the reproduction of a</w:t>
      </w:r>
      <w:r>
        <w:br/>
        <w:t>pre-existing natural harmony: “Il est ici également harmonieux, c’est la</w:t>
      </w:r>
      <w:r>
        <w:br/>
        <w:t>même entente des reflets, la même vérité des effets” (843). So the flaw</w:t>
      </w:r>
      <w:r>
        <w:br/>
        <w:t>lies not only with Bryson’s view of Diderot’s purported progress, which</w:t>
      </w:r>
      <w:r>
        <w:br/>
        <w:t>would consist in moving from a love of Verne</w:t>
      </w:r>
      <w:r>
        <w:rPr>
          <w:shd w:val="clear" w:color="auto" w:fill="80FFFF"/>
        </w:rPr>
        <w:t>r</w:t>
      </w:r>
      <w:r>
        <w:t xml:space="preserve"> ’s hallucinatory landscapes</w:t>
      </w:r>
      <w:r>
        <w:br/>
        <w:t xml:space="preserve">and Chardin’s </w:t>
      </w:r>
      <w:r>
        <w:rPr>
          <w:i/>
          <w:iCs/>
        </w:rPr>
        <w:t>trompe-l</w:t>
      </w:r>
      <w:r>
        <w:rPr>
          <w:i/>
          <w:iCs/>
          <w:shd w:val="clear" w:color="auto" w:fill="80FFFF"/>
        </w:rPr>
        <w:t>’</w:t>
      </w:r>
      <w:r>
        <w:rPr>
          <w:i/>
          <w:iCs/>
        </w:rPr>
        <w:t>oeil</w:t>
      </w:r>
      <w:r>
        <w:t xml:space="preserve"> magic to a proper understanding of Chardin</w:t>
      </w:r>
      <w:r>
        <w:br/>
        <w:t xml:space="preserve">as “master of </w:t>
      </w:r>
      <w:r>
        <w:rPr>
          <w:i/>
          <w:iCs/>
        </w:rPr>
        <w:t>harmonie</w:t>
      </w:r>
      <w:r>
        <w:rPr>
          <w:i/>
          <w:iCs/>
          <w:shd w:val="clear" w:color="auto" w:fill="80FFFF"/>
        </w:rPr>
        <w:t>."</w:t>
      </w:r>
      <w:r>
        <w:rPr>
          <w:i/>
          <w:iCs/>
          <w:shd w:val="clear" w:color="auto" w:fill="80FFFF"/>
          <w:vertAlign w:val="superscript"/>
        </w:rPr>
        <w:t>13</w:t>
      </w:r>
      <w:r>
        <w:t xml:space="preserve"> The deeper problem is that the </w:t>
      </w:r>
      <w:r>
        <w:rPr>
          <w:i/>
          <w:iCs/>
        </w:rPr>
        <w:t>Salons</w:t>
      </w:r>
      <w:r>
        <w:t xml:space="preserve"> do</w:t>
      </w:r>
      <w:r>
        <w:br/>
        <w:t>not contain two distinct Chardins: it is only by selective quotation and</w:t>
      </w:r>
      <w:r>
        <w:br/>
        <w:t>teleological thinking that Diderot’s remarks on harmony can possibly be</w:t>
      </w:r>
      <w:r>
        <w:br/>
        <w:t>trumpeted as a discovery (or even just intuition) of the modern autonomy</w:t>
      </w:r>
      <w:r>
        <w:br/>
        <w:t>of the picture-plane.</w:t>
      </w:r>
      <w:r>
        <w:rPr>
          <w:shd w:val="clear" w:color="auto" w:fill="80FFFF"/>
          <w:vertAlign w:val="superscript"/>
        </w:rPr>
        <w:footnoteReference w:id="30"/>
      </w:r>
    </w:p>
    <w:p w14:paraId="325C71F2" w14:textId="77777777" w:rsidR="007408BC" w:rsidRDefault="00000000">
      <w:pPr>
        <w:pStyle w:val="Bodytext10"/>
        <w:ind w:firstLine="300"/>
        <w:jc w:val="both"/>
      </w:pPr>
      <w:r>
        <w:t>Harmony aside, however, might Diderot’s undeniable attention</w:t>
      </w:r>
      <w:r>
        <w:br/>
        <w:t>to Chardin’s technique presage a modernist attention to the medium?</w:t>
      </w:r>
      <w:r>
        <w:br/>
        <w:t>Bryson gives us little sustained close reading, but the passages in which</w:t>
      </w:r>
      <w:r>
        <w:br w:type="page"/>
      </w:r>
      <w:r>
        <w:lastRenderedPageBreak/>
        <w:t>Diderot tries to reckon with Chardin’s</w:t>
      </w:r>
      <w:r>
        <w:rPr>
          <w:shd w:val="clear" w:color="auto" w:fill="80FFFF"/>
        </w:rPr>
        <w:t xml:space="preserve"> </w:t>
      </w:r>
      <w:r>
        <w:rPr>
          <w:i/>
          <w:iCs/>
        </w:rPr>
        <w:t>faire</w:t>
      </w:r>
      <w:r>
        <w:t xml:space="preserve"> are indeed some of the most</w:t>
      </w:r>
      <w:r>
        <w:br/>
        <w:t xml:space="preserve">interesting. Both at the beginning of the </w:t>
      </w:r>
      <w:r>
        <w:rPr>
          <w:i/>
          <w:iCs/>
        </w:rPr>
        <w:t>Salons</w:t>
      </w:r>
      <w:r>
        <w:t xml:space="preserve"> and toward the end,</w:t>
      </w:r>
      <w:r>
        <w:br/>
        <w:t xml:space="preserve">Chardin is distinguished for the unfinishedness of his canvases. </w:t>
      </w:r>
      <w:r w:rsidRPr="00E313D6">
        <w:rPr>
          <w:lang w:val="fr-FR"/>
        </w:rPr>
        <w:t>Thus, in</w:t>
      </w:r>
      <w:r w:rsidRPr="00E313D6">
        <w:rPr>
          <w:lang w:val="fr-FR"/>
        </w:rPr>
        <w:br/>
      </w:r>
      <w:proofErr w:type="gramStart"/>
      <w:r w:rsidRPr="00E313D6">
        <w:rPr>
          <w:lang w:val="fr-FR"/>
        </w:rPr>
        <w:t>1761:</w:t>
      </w:r>
      <w:proofErr w:type="gramEnd"/>
      <w:r w:rsidRPr="00E313D6">
        <w:rPr>
          <w:lang w:val="fr-FR"/>
        </w:rPr>
        <w:t xml:space="preserve"> “Il y a longtemps que ce peintre ne finit plus rien” (</w:t>
      </w:r>
      <w:r w:rsidRPr="00E313D6">
        <w:rPr>
          <w:shd w:val="clear" w:color="auto" w:fill="80FFFF"/>
          <w:lang w:val="fr-FR"/>
        </w:rPr>
        <w:t>218</w:t>
      </w:r>
      <w:r w:rsidRPr="00E313D6">
        <w:rPr>
          <w:lang w:val="fr-FR"/>
        </w:rPr>
        <w:t>); while in</w:t>
      </w:r>
      <w:r w:rsidRPr="00E313D6">
        <w:rPr>
          <w:lang w:val="fr-FR"/>
        </w:rPr>
        <w:br/>
        <w:t>1771: “ce morceau est beaucoup moins fini que ses ouvrages précédents”</w:t>
      </w:r>
      <w:r w:rsidRPr="00E313D6">
        <w:rPr>
          <w:lang w:val="fr-FR"/>
        </w:rPr>
        <w:br/>
        <w:t xml:space="preserve">(895). </w:t>
      </w:r>
      <w:r>
        <w:t xml:space="preserve">And as we’ve seen, the word </w:t>
      </w:r>
      <w:r>
        <w:rPr>
          <w:i/>
          <w:iCs/>
        </w:rPr>
        <w:t>heurté</w:t>
      </w:r>
      <w:r>
        <w:t xml:space="preserve"> makes a series of appearances—</w:t>
      </w:r>
      <w:r>
        <w:br/>
        <w:t>in the 1761 mention of t</w:t>
      </w:r>
      <w:r>
        <w:rPr>
          <w:shd w:val="clear" w:color="auto" w:fill="80FFFF"/>
        </w:rPr>
        <w:t>h</w:t>
      </w:r>
      <w:r>
        <w:rPr>
          <w:i/>
          <w:iCs/>
          <w:shd w:val="clear" w:color="auto" w:fill="80FFFF"/>
        </w:rPr>
        <w:t>e</w:t>
      </w:r>
      <w:r>
        <w:rPr>
          <w:i/>
          <w:iCs/>
        </w:rPr>
        <w:t xml:space="preserve"> faire</w:t>
      </w:r>
      <w:r>
        <w:t xml:space="preserve"> “rude et comme heurté”; in the 1763</w:t>
      </w:r>
      <w:r>
        <w:br/>
        <w:t>reference to Chardins “genre heurté,” composed of “une infinité de chocs</w:t>
      </w:r>
      <w:r>
        <w:br/>
        <w:t xml:space="preserve">fiers et vigoureux” (269); and again in </w:t>
      </w:r>
      <w:r>
        <w:rPr>
          <w:shd w:val="clear" w:color="auto" w:fill="80FFFF"/>
        </w:rPr>
        <w:t>17</w:t>
      </w:r>
      <w:r>
        <w:t>65</w:t>
      </w:r>
      <w:r>
        <w:rPr>
          <w:shd w:val="clear" w:color="auto" w:fill="80FFFF"/>
        </w:rPr>
        <w:t xml:space="preserve"> s</w:t>
      </w:r>
      <w:r>
        <w:t xml:space="preserve"> “manière heurtée” (349).</w:t>
      </w:r>
      <w:r>
        <w:br/>
        <w:t>On the face of it, this attention-getting style would seem at odds with the</w:t>
      </w:r>
      <w:r>
        <w:br/>
        <w:t>characterization of Chardin as “simple et vrai” (1</w:t>
      </w:r>
      <w:r>
        <w:rPr>
          <w:shd w:val="clear" w:color="auto" w:fill="80FFFF"/>
        </w:rPr>
        <w:t>76</w:t>
      </w:r>
      <w:r>
        <w:t>3; 237), and indeed</w:t>
      </w:r>
      <w:r>
        <w:br/>
        <w:t>each time he mentions Chardins</w:t>
      </w:r>
      <w:r>
        <w:rPr>
          <w:shd w:val="clear" w:color="auto" w:fill="80FFFF"/>
        </w:rPr>
        <w:t xml:space="preserve"> </w:t>
      </w:r>
      <w:r>
        <w:rPr>
          <w:i/>
          <w:iCs/>
        </w:rPr>
        <w:t>faire,</w:t>
      </w:r>
      <w:r>
        <w:t xml:space="preserve"> Diderot works the paradox himself.</w:t>
      </w:r>
      <w:r>
        <w:br/>
        <w:t>After all, how can what the viewer recognizes up close as “des couches</w:t>
      </w:r>
      <w:r>
        <w:br/>
        <w:t>épaisses de couleur, appliquées les unes sur les autres” (1763; 265), “un</w:t>
      </w:r>
      <w:r>
        <w:br/>
        <w:t>tas informe de couleurs grossièrement appliquées” (1763; 268), end up</w:t>
      </w:r>
      <w:r>
        <w:br/>
        <w:t>producing from afar the sought-after mimetic transparency, whereby</w:t>
      </w:r>
      <w:r>
        <w:br/>
        <w:t>“l’objet se crée et finit par être celui de la nature” (1765; 349)</w:t>
      </w:r>
      <w:r>
        <w:rPr>
          <w:shd w:val="clear" w:color="auto" w:fill="80FFFF"/>
        </w:rPr>
        <w:t>?</w:t>
      </w:r>
    </w:p>
    <w:p w14:paraId="1F8C1819" w14:textId="77777777" w:rsidR="007408BC" w:rsidRDefault="00000000">
      <w:pPr>
        <w:pStyle w:val="Bodytext10"/>
        <w:ind w:firstLine="300"/>
        <w:jc w:val="both"/>
      </w:pPr>
      <w:r>
        <w:t xml:space="preserve">Each reappearance of this paradox in the </w:t>
      </w:r>
      <w:r>
        <w:rPr>
          <w:i/>
          <w:iCs/>
        </w:rPr>
        <w:t>Salons</w:t>
      </w:r>
      <w:r>
        <w:t xml:space="preserve"> ends up reaffirming</w:t>
      </w:r>
      <w:r>
        <w:br/>
        <w:t>Diderot’s ideological commitment to the hierarchy of genres. It’s no</w:t>
      </w:r>
      <w:r>
        <w:br/>
        <w:t xml:space="preserve">accident that it’s the </w:t>
      </w:r>
      <w:r>
        <w:rPr>
          <w:i/>
          <w:iCs/>
        </w:rPr>
        <w:t>virility</w:t>
      </w:r>
      <w:r>
        <w:t xml:space="preserve"> of Chardin’s style</w:t>
      </w:r>
      <w:proofErr w:type="gramStart"/>
      <w:r>
        <w:t>—“</w:t>
      </w:r>
      <w:proofErr w:type="gramEnd"/>
      <w:r>
        <w:t>[des] chocs fiers et</w:t>
      </w:r>
      <w:r>
        <w:br/>
        <w:t>vigoureux”—that “sauve l’ouvrage de la petitesse de forme” (1763; 269)</w:t>
      </w:r>
      <w:r>
        <w:br/>
        <w:t>and makes for an admiration that by all rights such low subjects should not</w:t>
      </w:r>
      <w:r>
        <w:br/>
        <w:t xml:space="preserve">possess. </w:t>
      </w:r>
      <w:r w:rsidRPr="00E313D6">
        <w:rPr>
          <w:lang w:val="fr-FR"/>
        </w:rPr>
        <w:t>“Ne croyez pas que cette harmonie soit le résultat d’une manière</w:t>
      </w:r>
      <w:r w:rsidRPr="00E313D6">
        <w:rPr>
          <w:lang w:val="fr-FR"/>
        </w:rPr>
        <w:br/>
        <w:t>faible, douce et léchée,” warns Diderot, anxious that his taste for Chardin’s</w:t>
      </w:r>
      <w:r w:rsidRPr="00E313D6">
        <w:rPr>
          <w:lang w:val="fr-FR"/>
        </w:rPr>
        <w:br/>
        <w:t xml:space="preserve">still fifes might come across as too </w:t>
      </w:r>
      <w:proofErr w:type="gramStart"/>
      <w:r w:rsidRPr="00E313D6">
        <w:rPr>
          <w:lang w:val="fr-FR"/>
        </w:rPr>
        <w:t>feminine:</w:t>
      </w:r>
      <w:proofErr w:type="gramEnd"/>
      <w:r w:rsidRPr="00E313D6">
        <w:rPr>
          <w:lang w:val="fr-FR"/>
        </w:rPr>
        <w:t xml:space="preserve"> “Point du tout, c’est partout</w:t>
      </w:r>
      <w:r w:rsidRPr="00E313D6">
        <w:rPr>
          <w:lang w:val="fr-FR"/>
        </w:rPr>
        <w:br/>
        <w:t>la touche la plus vigoureuse” (1</w:t>
      </w:r>
      <w:r w:rsidRPr="00E313D6">
        <w:rPr>
          <w:shd w:val="clear" w:color="auto" w:fill="80FFFF"/>
          <w:lang w:val="fr-FR"/>
        </w:rPr>
        <w:t>76</w:t>
      </w:r>
      <w:r w:rsidRPr="00E313D6">
        <w:rPr>
          <w:lang w:val="fr-FR"/>
        </w:rPr>
        <w:t xml:space="preserve">5; </w:t>
      </w:r>
      <w:r w:rsidRPr="00E313D6">
        <w:rPr>
          <w:shd w:val="clear" w:color="auto" w:fill="80FFFF"/>
          <w:lang w:val="fr-FR"/>
        </w:rPr>
        <w:t>348</w:t>
      </w:r>
      <w:r w:rsidRPr="00E313D6">
        <w:rPr>
          <w:lang w:val="fr-FR"/>
        </w:rPr>
        <w:t xml:space="preserve">). </w:t>
      </w:r>
      <w:r>
        <w:t>It makes sense, then, that the</w:t>
      </w:r>
      <w:r>
        <w:br/>
      </w:r>
      <w:r>
        <w:rPr>
          <w:i/>
          <w:iCs/>
        </w:rPr>
        <w:t>heurté</w:t>
      </w:r>
      <w:r>
        <w:t xml:space="preserve"> style is not actually specific to Chardin’s canvases. </w:t>
      </w:r>
      <w:r w:rsidRPr="00E313D6">
        <w:rPr>
          <w:lang w:val="fr-FR"/>
        </w:rPr>
        <w:t>The phrasing in</w:t>
      </w:r>
      <w:r w:rsidRPr="00E313D6">
        <w:rPr>
          <w:lang w:val="fr-FR"/>
        </w:rPr>
        <w:br/>
        <w:t xml:space="preserve">the 1765 entry is significant. “Le faire de Chardin est particulier. </w:t>
      </w:r>
      <w:r w:rsidRPr="00E313D6">
        <w:rPr>
          <w:i/>
          <w:iCs/>
          <w:lang w:val="fr-FR"/>
        </w:rPr>
        <w:t>Il a de</w:t>
      </w:r>
      <w:r w:rsidRPr="00E313D6">
        <w:rPr>
          <w:i/>
          <w:iCs/>
          <w:lang w:val="fr-FR"/>
        </w:rPr>
        <w:br/>
        <w:t>commun avec la manière heurtée</w:t>
      </w:r>
      <w:r w:rsidRPr="00E313D6">
        <w:rPr>
          <w:lang w:val="fr-FR"/>
        </w:rPr>
        <w:t xml:space="preserve"> que de près on ne sait ce que c’est” (349,</w:t>
      </w:r>
      <w:r w:rsidRPr="00E313D6">
        <w:rPr>
          <w:lang w:val="fr-FR"/>
        </w:rPr>
        <w:br/>
        <w:t>my emphasis</w:t>
      </w:r>
      <w:proofErr w:type="gramStart"/>
      <w:r w:rsidRPr="00E313D6">
        <w:rPr>
          <w:lang w:val="fr-FR"/>
        </w:rPr>
        <w:t>):</w:t>
      </w:r>
      <w:proofErr w:type="gramEnd"/>
      <w:r w:rsidRPr="00E313D6">
        <w:rPr>
          <w:lang w:val="fr-FR"/>
        </w:rPr>
        <w:t xml:space="preserve"> Chardin’s style </w:t>
      </w:r>
      <w:r w:rsidRPr="00E313D6">
        <w:rPr>
          <w:i/>
          <w:iCs/>
          <w:lang w:val="fr-FR"/>
        </w:rPr>
        <w:t>resembles</w:t>
      </w:r>
      <w:r w:rsidRPr="00E313D6">
        <w:rPr>
          <w:lang w:val="fr-FR"/>
        </w:rPr>
        <w:t xml:space="preserve"> the valorized “manière heurtée”</w:t>
      </w:r>
      <w:r w:rsidRPr="00E313D6">
        <w:rPr>
          <w:lang w:val="fr-FR"/>
        </w:rPr>
        <w:br/>
        <w:t>practiced by masters of other, less debased genres—the landscapes of</w:t>
      </w:r>
      <w:r w:rsidRPr="00E313D6">
        <w:rPr>
          <w:lang w:val="fr-FR"/>
        </w:rPr>
        <w:br/>
        <w:t>Loutherbourg, the battles of Casanove, the domestic drama of Greuze, and</w:t>
      </w:r>
      <w:r w:rsidRPr="00E313D6">
        <w:rPr>
          <w:lang w:val="fr-FR"/>
        </w:rPr>
        <w:br/>
        <w:t>then Rubens himself (1763; 265, 269). But even the painter’s reassuring</w:t>
      </w:r>
      <w:r w:rsidRPr="00E313D6">
        <w:rPr>
          <w:lang w:val="fr-FR"/>
        </w:rPr>
        <w:br/>
      </w:r>
      <w:r w:rsidRPr="00E313D6">
        <w:rPr>
          <w:i/>
          <w:iCs/>
          <w:lang w:val="fr-FR"/>
        </w:rPr>
        <w:t>touche vigoureuse</w:t>
      </w:r>
      <w:r w:rsidRPr="00E313D6">
        <w:rPr>
          <w:lang w:val="fr-FR"/>
        </w:rPr>
        <w:t xml:space="preserve"> can’t forestall the concession that he is working with</w:t>
      </w:r>
      <w:r w:rsidRPr="00E313D6">
        <w:rPr>
          <w:lang w:val="fr-FR"/>
        </w:rPr>
        <w:br/>
        <w:t xml:space="preserve">inanimate matter, and thus aims at a too easy of a </w:t>
      </w:r>
      <w:proofErr w:type="gramStart"/>
      <w:r w:rsidRPr="00E313D6">
        <w:rPr>
          <w:lang w:val="fr-FR"/>
        </w:rPr>
        <w:t>target:</w:t>
      </w:r>
      <w:proofErr w:type="gramEnd"/>
      <w:r w:rsidRPr="00E313D6">
        <w:rPr>
          <w:lang w:val="fr-FR"/>
        </w:rPr>
        <w:t xml:space="preserve"> “il est vrai</w:t>
      </w:r>
      <w:r w:rsidRPr="00E313D6">
        <w:rPr>
          <w:lang w:val="fr-FR"/>
        </w:rPr>
        <w:br/>
        <w:t>que ces objets ne changent pas sous les yeux de l’artiste” (348). Diderot</w:t>
      </w:r>
      <w:r w:rsidRPr="00E313D6">
        <w:rPr>
          <w:lang w:val="fr-FR"/>
        </w:rPr>
        <w:br/>
      </w:r>
      <w:proofErr w:type="gramStart"/>
      <w:r w:rsidRPr="00E313D6">
        <w:rPr>
          <w:lang w:val="fr-FR"/>
        </w:rPr>
        <w:t>concludes:</w:t>
      </w:r>
      <w:proofErr w:type="gramEnd"/>
      <w:r w:rsidRPr="00E313D6">
        <w:rPr>
          <w:lang w:val="fr-FR"/>
        </w:rPr>
        <w:t xml:space="preserve"> “Si le sublime du technique n’y était pas, l’idéal de Chardin</w:t>
      </w:r>
      <w:r w:rsidRPr="00E313D6">
        <w:rPr>
          <w:lang w:val="fr-FR"/>
        </w:rPr>
        <w:br w:type="page"/>
      </w:r>
      <w:r w:rsidRPr="00E313D6">
        <w:rPr>
          <w:lang w:val="fr-FR"/>
        </w:rPr>
        <w:lastRenderedPageBreak/>
        <w:t xml:space="preserve">serait misérable” (342). </w:t>
      </w:r>
      <w:r>
        <w:t>Talking up Chardin’s technique inevitably leads</w:t>
      </w:r>
      <w:r>
        <w:br/>
        <w:t>to pondering the worthlessness and facility of painting inanimate objects.</w:t>
      </w:r>
    </w:p>
    <w:p w14:paraId="5C853FFC" w14:textId="77777777" w:rsidR="007408BC" w:rsidRDefault="00000000">
      <w:pPr>
        <w:pStyle w:val="Bodytext10"/>
        <w:spacing w:line="293" w:lineRule="auto"/>
        <w:jc w:val="both"/>
      </w:pPr>
      <w:r>
        <w:t>Certainly, it is curious that Chardin can both be praised for his</w:t>
      </w:r>
      <w:r>
        <w:br/>
        <w:t>il</w:t>
      </w:r>
      <w:r>
        <w:rPr>
          <w:shd w:val="clear" w:color="auto" w:fill="80FFFF"/>
        </w:rPr>
        <w:t>lu</w:t>
      </w:r>
      <w:r>
        <w:t>sionism and at the same time give us canvases who</w:t>
      </w:r>
      <w:r>
        <w:rPr>
          <w:shd w:val="clear" w:color="auto" w:fill="80FFFF"/>
        </w:rPr>
        <w:t>s</w:t>
      </w:r>
      <w:r>
        <w:rPr>
          <w:i/>
          <w:iCs/>
          <w:shd w:val="clear" w:color="auto" w:fill="80FFFF"/>
        </w:rPr>
        <w:t xml:space="preserve">e </w:t>
      </w:r>
      <w:r>
        <w:rPr>
          <w:i/>
          <w:iCs/>
        </w:rPr>
        <w:t>faire</w:t>
      </w:r>
      <w:r>
        <w:t xml:space="preserve"> marks them as</w:t>
      </w:r>
      <w:r>
        <w:br/>
        <w:t>unmistakably his own. But is the classical mimetic ideal crumbling under</w:t>
      </w:r>
      <w:r>
        <w:br/>
        <w:t>the weight of this contradiction? Bryson himself gestures in this direction,</w:t>
      </w:r>
      <w:r>
        <w:br/>
        <w:t>certainly, and another proponent of the thesis is Marian Hobson. In her</w:t>
      </w:r>
      <w:r>
        <w:br/>
      </w:r>
      <w:r>
        <w:rPr>
          <w:shd w:val="clear" w:color="auto" w:fill="80FFFF"/>
        </w:rPr>
        <w:t>19</w:t>
      </w:r>
      <w:r>
        <w:t xml:space="preserve">82 </w:t>
      </w:r>
      <w:r>
        <w:rPr>
          <w:i/>
          <w:iCs/>
        </w:rPr>
        <w:t>The Object of Art,</w:t>
      </w:r>
      <w:r>
        <w:t xml:space="preserve"> Hobson points to Diderots entries on Chardin</w:t>
      </w:r>
      <w:r>
        <w:br/>
        <w:t>as the first sign of a sea-change in the theorized relation of the art object</w:t>
      </w:r>
      <w:r>
        <w:br/>
        <w:t>and nature. While a contemporary such as La Font de Saint-</w:t>
      </w:r>
      <w:r>
        <w:rPr>
          <w:shd w:val="clear" w:color="auto" w:fill="80FFFF"/>
        </w:rPr>
        <w:t>Y</w:t>
      </w:r>
      <w:r>
        <w:t>enne could</w:t>
      </w:r>
      <w:r>
        <w:br/>
        <w:t>certainly recognize Chardins “vérité d’illusion,” “it is with Diderot that</w:t>
      </w:r>
      <w:r>
        <w:br/>
        <w:t>the problem posed by Chardin precipitates an aesthetic mutation.”</w:t>
      </w:r>
      <w:r>
        <w:rPr>
          <w:shd w:val="clear" w:color="auto" w:fill="80FFFF"/>
          <w:vertAlign w:val="superscript"/>
        </w:rPr>
        <w:footnoteReference w:id="31"/>
      </w:r>
      <w:r>
        <w:rPr>
          <w:vertAlign w:val="superscript"/>
        </w:rPr>
        <w:br/>
      </w:r>
      <w:r>
        <w:t>Like Bryson’s, Hobson’s Chardin forces Diderot “to recognize that art</w:t>
      </w:r>
      <w:r>
        <w:br/>
        <w:t>is mediation and not transparency,” thus exposing “the central problem</w:t>
      </w:r>
      <w:r>
        <w:br/>
        <w:t>in the relation between ‘illusion,’ ‘faire’ and the low genres.”</w:t>
      </w:r>
      <w:r>
        <w:rPr>
          <w:vertAlign w:val="superscript"/>
        </w:rPr>
        <w:footnoteReference w:id="32"/>
      </w:r>
      <w:r>
        <w:t xml:space="preserve"> As such,</w:t>
      </w:r>
      <w:r>
        <w:br/>
        <w:t>Diderot become representative of what will be the paradigm of the second</w:t>
      </w:r>
      <w:r>
        <w:br/>
        <w:t>half of the century, and which is still that of our own time: “The whole</w:t>
      </w:r>
      <w:r>
        <w:br/>
        <w:t>notion of the relation between art object and nature is changing from that</w:t>
      </w:r>
      <w:r>
        <w:br/>
        <w:t>of reference to that of replica.”</w:t>
      </w:r>
      <w:r>
        <w:rPr>
          <w:vertAlign w:val="superscript"/>
        </w:rPr>
        <w:footnoteReference w:id="33"/>
      </w:r>
    </w:p>
    <w:p w14:paraId="7EF49CA1" w14:textId="77777777" w:rsidR="007408BC" w:rsidRDefault="00000000">
      <w:pPr>
        <w:pStyle w:val="Bodytext10"/>
        <w:spacing w:line="293" w:lineRule="auto"/>
        <w:jc w:val="both"/>
      </w:pPr>
      <w:r>
        <w:t>What Hobson means by these terms is unfortunately not obvious.</w:t>
      </w:r>
      <w:r>
        <w:rPr>
          <w:vertAlign w:val="superscript"/>
        </w:rPr>
        <w:footnoteReference w:id="34"/>
      </w:r>
      <w:r>
        <w:rPr>
          <w:vertAlign w:val="superscript"/>
        </w:rPr>
        <w:br/>
      </w:r>
      <w:r>
        <w:t xml:space="preserve">Be that as it may the place of </w:t>
      </w:r>
      <w:proofErr w:type="gramStart"/>
      <w:r>
        <w:t>Chardin</w:t>
      </w:r>
      <w:proofErr w:type="gramEnd"/>
      <w:r>
        <w:t xml:space="preserve"> and Diderot is starting to seem</w:t>
      </w:r>
      <w:r>
        <w:br/>
        <w:t>familiar: it’s the place of a crisis in Western representation. The crisis</w:t>
      </w:r>
      <w:r>
        <w:br/>
        <w:t>occurs within the mimetic paradigm; its outcome is the invention of the</w:t>
      </w:r>
      <w:r>
        <w:br/>
        <w:t>aesthetic, which is to say things like the autonomy of the artwork, the</w:t>
      </w:r>
      <w:r>
        <w:br/>
        <w:t>specificity of the medium, and non-referential, legitimately fictive play.</w:t>
      </w:r>
      <w:r>
        <w:br/>
        <w:t>Space constraints prevent me from situating these readings of Diderot’s</w:t>
      </w:r>
      <w:r>
        <w:br/>
      </w:r>
      <w:r>
        <w:rPr>
          <w:i/>
          <w:iCs/>
        </w:rPr>
        <w:t>Salons</w:t>
      </w:r>
      <w:r>
        <w:t xml:space="preserve"> specifically within a larger set of arguments—within what seems</w:t>
      </w:r>
      <w:r>
        <w:br/>
        <w:t>very nearly a consensus—about a broader shift from poetics, understood</w:t>
      </w:r>
      <w:r>
        <w:br/>
        <w:t>as a body of compositional rules for artists, to aesthetics, understood as a</w:t>
      </w:r>
      <w:r>
        <w:br w:type="page"/>
      </w:r>
      <w:r>
        <w:lastRenderedPageBreak/>
        <w:t>phenomenology of the percipient’s experience of the artwork.</w:t>
      </w:r>
      <w:r>
        <w:rPr>
          <w:shd w:val="clear" w:color="auto" w:fill="80FFFF"/>
          <w:vertAlign w:val="superscript"/>
        </w:rPr>
        <w:footnoteReference w:id="35"/>
      </w:r>
      <w:r>
        <w:t xml:space="preserve"> Instead,</w:t>
      </w:r>
      <w:r>
        <w:br/>
        <w:t>in the remainder of this article I would like to establish that the above</w:t>
      </w:r>
      <w:r>
        <w:br/>
        <w:t>interpretations of Diderots novelty inexcusably skirt the profound</w:t>
      </w:r>
      <w:r>
        <w:br/>
        <w:t>commonalities between his reasoning and longstanding formulations</w:t>
      </w:r>
      <w:r>
        <w:br/>
        <w:t>regarding mimesis (especially the representation of base subject matter).</w:t>
      </w:r>
    </w:p>
    <w:p w14:paraId="0929D6E2" w14:textId="77777777" w:rsidR="007408BC" w:rsidRDefault="00000000">
      <w:pPr>
        <w:pStyle w:val="Bodytext10"/>
        <w:spacing w:line="288" w:lineRule="auto"/>
        <w:jc w:val="both"/>
      </w:pPr>
      <w:r>
        <w:t xml:space="preserve">As I </w:t>
      </w:r>
      <w:r>
        <w:rPr>
          <w:shd w:val="clear" w:color="auto" w:fill="80FFFF"/>
        </w:rPr>
        <w:t>ju</w:t>
      </w:r>
      <w:r>
        <w:t>st pointed out, each time Diderot praises Chardins technique, he</w:t>
      </w:r>
      <w:r>
        <w:br/>
        <w:t>concedes the worthlessness of the object imitated. Yet similar concessions</w:t>
      </w:r>
      <w:r>
        <w:br/>
        <w:t>are not necessary in the case of Vernet: in theory, landscape is a lesser genre</w:t>
      </w:r>
      <w:r>
        <w:br/>
        <w:t>too, but Diderot has no problem arguing for its inclusion within the rubric</w:t>
      </w:r>
      <w:r>
        <w:br/>
        <w:t>of history painting. Grosso modo this is because Vernet creates not mere</w:t>
      </w:r>
      <w:r>
        <w:br/>
        <w:t xml:space="preserve">scenery but </w:t>
      </w:r>
      <w:r>
        <w:rPr>
          <w:i/>
          <w:iCs/>
        </w:rPr>
        <w:t>scenes</w:t>
      </w:r>
      <w:r>
        <w:t>—scenes of people doing things of sufficient drama.</w:t>
      </w:r>
      <w:r>
        <w:br/>
        <w:t>Diderot compares his landscapes to Loutherbourg’s, whose technique</w:t>
      </w:r>
      <w:r>
        <w:br/>
        <w:t>is nearly the equal, he feels, of Verner’s. Unfortunately, Loutherbourg</w:t>
      </w:r>
      <w:r>
        <w:br/>
        <w:t>introduces into his paintings only shepherds and animals</w:t>
      </w:r>
      <w:proofErr w:type="gramStart"/>
      <w:r>
        <w:t>—“</w:t>
      </w:r>
      <w:proofErr w:type="gramEnd"/>
      <w:r>
        <w:t>toujours</w:t>
      </w:r>
      <w:r>
        <w:br/>
        <w:t xml:space="preserve">des pâtres et des animaux,” complains Diderot (1767; 742). </w:t>
      </w:r>
      <w:r w:rsidRPr="00E313D6">
        <w:rPr>
          <w:lang w:val="fr-FR"/>
        </w:rPr>
        <w:t>Vernet, by</w:t>
      </w:r>
      <w:r w:rsidRPr="00E313D6">
        <w:rPr>
          <w:lang w:val="fr-FR"/>
        </w:rPr>
        <w:br/>
        <w:t>contrast, “y sème des personnages et des incidents de toute espèce, et ces</w:t>
      </w:r>
      <w:r w:rsidRPr="00E313D6">
        <w:rPr>
          <w:lang w:val="fr-FR"/>
        </w:rPr>
        <w:br/>
        <w:t>personnages et ces incidents, quoique vrais, ne sont pas la nature commune</w:t>
      </w:r>
      <w:r w:rsidRPr="00E313D6">
        <w:rPr>
          <w:lang w:val="fr-FR"/>
        </w:rPr>
        <w:br/>
        <w:t xml:space="preserve">des champs” (742). </w:t>
      </w:r>
      <w:r>
        <w:t>Vernet might do still better: he could be Poussin, whose</w:t>
      </w:r>
      <w:r>
        <w:br/>
        <w:t>landscapes tell metaphysical tales of doom that are ultimately productive</w:t>
      </w:r>
      <w:r>
        <w:br/>
        <w:t xml:space="preserve">of </w:t>
      </w:r>
      <w:r>
        <w:rPr>
          <w:i/>
          <w:iCs/>
        </w:rPr>
        <w:t>crainte</w:t>
      </w:r>
      <w:r>
        <w:t xml:space="preserve"> and </w:t>
      </w:r>
      <w:r>
        <w:rPr>
          <w:i/>
          <w:iCs/>
        </w:rPr>
        <w:t>pitié</w:t>
      </w:r>
      <w:r>
        <w:rPr>
          <w:shd w:val="clear" w:color="auto" w:fill="80FFFF"/>
        </w:rPr>
        <w:t>—</w:t>
      </w:r>
      <w:r>
        <w:t>obviously, the very emotions that characterize</w:t>
      </w:r>
      <w:r>
        <w:br/>
        <w:t xml:space="preserve">that highest of the genres, tragedy. Perhaps </w:t>
      </w:r>
      <w:proofErr w:type="gramStart"/>
      <w:r>
        <w:t>this is why</w:t>
      </w:r>
      <w:proofErr w:type="gramEnd"/>
      <w:r>
        <w:t xml:space="preserve"> as laudatory as</w:t>
      </w:r>
      <w:r>
        <w:br/>
        <w:t xml:space="preserve">the </w:t>
      </w:r>
      <w:r>
        <w:rPr>
          <w:i/>
          <w:iCs/>
        </w:rPr>
        <w:t>promenade Vernet</w:t>
      </w:r>
      <w:r>
        <w:t xml:space="preserve"> is, Diderot crowns it with a fantasy marine of his</w:t>
      </w:r>
      <w:r>
        <w:br/>
        <w:t>own confection. This is the dream supposedly provoked by Verner’s seven</w:t>
      </w:r>
      <w:r>
        <w:br/>
        <w:t xml:space="preserve">canvases—a dream full of </w:t>
      </w:r>
      <w:r>
        <w:rPr>
          <w:i/>
          <w:iCs/>
        </w:rPr>
        <w:t>terrible</w:t>
      </w:r>
      <w:r>
        <w:rPr>
          <w:i/>
          <w:iCs/>
          <w:shd w:val="clear" w:color="auto" w:fill="80FFFF"/>
        </w:rPr>
        <w:t>s</w:t>
      </w:r>
      <w:r>
        <w:rPr>
          <w:i/>
          <w:iCs/>
        </w:rPr>
        <w:t>, pathétique</w:t>
      </w:r>
      <w:r>
        <w:rPr>
          <w:i/>
          <w:iCs/>
          <w:shd w:val="clear" w:color="auto" w:fill="80FFFF"/>
        </w:rPr>
        <w:t>s</w:t>
      </w:r>
      <w:r>
        <w:t xml:space="preserve">, and </w:t>
      </w:r>
      <w:r>
        <w:rPr>
          <w:i/>
          <w:iCs/>
        </w:rPr>
        <w:t>touchantes</w:t>
      </w:r>
      <w:r>
        <w:t xml:space="preserve"> scenes that</w:t>
      </w:r>
      <w:r>
        <w:br/>
        <w:t>make the dreamer shed “des larmes réelles” (6</w:t>
      </w:r>
      <w:r>
        <w:rPr>
          <w:shd w:val="clear" w:color="auto" w:fill="80FFFF"/>
        </w:rPr>
        <w:t>31</w:t>
      </w:r>
      <w:r>
        <w:t>). At its best, landscape—</w:t>
      </w:r>
      <w:r>
        <w:br/>
        <w:t xml:space="preserve">and </w:t>
      </w:r>
      <w:r>
        <w:rPr>
          <w:i/>
          <w:iCs/>
        </w:rPr>
        <w:t>a fortiori</w:t>
      </w:r>
      <w:r>
        <w:t xml:space="preserve"> marines—can rise to the level of good Aristotelian mimesis,</w:t>
      </w:r>
      <w:r>
        <w:br/>
        <w:t>which is the imitation of people doing important—which is to sa</w:t>
      </w:r>
      <w:r>
        <w:rPr>
          <w:shd w:val="clear" w:color="auto" w:fill="80FFFF"/>
        </w:rPr>
        <w:t>y</w:t>
      </w:r>
      <w:r>
        <w:t xml:space="preserve"> life-or-</w:t>
      </w:r>
      <w:r>
        <w:br/>
      </w:r>
      <w:r>
        <w:rPr>
          <w:shd w:val="clear" w:color="auto" w:fill="80FFFF"/>
        </w:rPr>
        <w:t>d</w:t>
      </w:r>
      <w:r>
        <w:t>e</w:t>
      </w:r>
      <w:r>
        <w:rPr>
          <w:shd w:val="clear" w:color="auto" w:fill="80FFFF"/>
        </w:rPr>
        <w:t>at</w:t>
      </w:r>
      <w:r>
        <w:t>h—things.</w:t>
      </w:r>
    </w:p>
    <w:p w14:paraId="25256276" w14:textId="77777777" w:rsidR="007408BC" w:rsidRDefault="00000000">
      <w:pPr>
        <w:pStyle w:val="Bodytext10"/>
        <w:spacing w:line="288" w:lineRule="auto"/>
        <w:jc w:val="both"/>
      </w:pPr>
      <w:r>
        <w:t>Still life, however, cannot be elevated in such a manner. The well-</w:t>
      </w:r>
      <w:r>
        <w:br/>
        <w:t xml:space="preserve">known passage from the 1765 </w:t>
      </w:r>
      <w:r>
        <w:rPr>
          <w:i/>
          <w:iCs/>
        </w:rPr>
        <w:t>Essai sur la peinture</w:t>
      </w:r>
      <w:r>
        <w:t xml:space="preserve"> where Diderot opens</w:t>
      </w:r>
      <w:r>
        <w:br/>
        <w:t xml:space="preserve">up the privileged category of history painting to the lower </w:t>
      </w:r>
      <w:proofErr w:type="gramStart"/>
      <w:r>
        <w:t>genres</w:t>
      </w:r>
      <w:proofErr w:type="gramEnd"/>
      <w:r>
        <w:t xml:space="preserve"> merits</w:t>
      </w:r>
      <w:r>
        <w:br/>
        <w:t>recalling. He starts by dividing genre painting into two categories, one of</w:t>
      </w:r>
      <w:r>
        <w:br/>
        <w:t>nature and one of domestic scenes. In this wide sense, Diderot continues,</w:t>
      </w:r>
      <w:r>
        <w:br w:type="page"/>
      </w:r>
      <w:r>
        <w:lastRenderedPageBreak/>
        <w:t>“Teniers, Wouwerman, Greuze, Chardin, Loutherbourg, Verner même</w:t>
      </w:r>
      <w:r>
        <w:br/>
        <w:t>sont des peintres de genre” (506). But only two of these six are named as</w:t>
      </w:r>
      <w:r>
        <w:br/>
        <w:t>examples of Diderots expanded definition of history painting: Greuze and</w:t>
      </w:r>
      <w:r>
        <w:br/>
        <w:t>Verne</w:t>
      </w:r>
      <w:r>
        <w:rPr>
          <w:shd w:val="clear" w:color="auto" w:fill="80FFFF"/>
        </w:rPr>
        <w:t>r</w:t>
      </w:r>
      <w:r>
        <w:t>, whose paintings “offrent toutes sortes d’incidents et de scènes.”</w:t>
      </w:r>
      <w:r>
        <w:br/>
        <w:t>Loutherbourg, with his shepherds and animals, fails to make the cut, as</w:t>
      </w:r>
      <w:r>
        <w:br/>
        <w:t>do the two Dutch painters, and Chardin: the line between animate and</w:t>
      </w:r>
      <w:r>
        <w:br/>
        <w:t>inanimate, Diderot would seem to concede, is hard and fast. The Salon of</w:t>
      </w:r>
      <w:r>
        <w:br/>
        <w:t>1765 contains a similar passage that at first couples Vernet and Chardin,</w:t>
      </w:r>
      <w:r>
        <w:br/>
        <w:t>only to drop the latter. “Chardin et Vernet, mon ami, sont deux grands</w:t>
      </w:r>
      <w:r>
        <w:br/>
        <w:t>magiciens,” writes Diderot, and then proceeds to compare Vernet—</w:t>
      </w:r>
      <w:r>
        <w:br/>
        <w:t>but only Vernet—to Jupiter in his ability to “peuple[r] sa toile comme</w:t>
      </w:r>
      <w:r>
        <w:br/>
        <w:t>on peuple une colonie” and then afflict his humans with “le temps, le</w:t>
      </w:r>
      <w:r>
        <w:br/>
        <w:t>ciel, la saison, le bonheur, le malheur qui lui plaît” (356). And in this</w:t>
      </w:r>
      <w:r>
        <w:br/>
        <w:t>sense, Diderots recourse to the new discourse of the sublime, rather than</w:t>
      </w:r>
      <w:r>
        <w:br/>
        <w:t>being the “modernizing” gesture so often claimed, merely allows him to</w:t>
      </w:r>
      <w:r>
        <w:br/>
        <w:t>invest landscape with the metaphysical seriousness demanded by the old</w:t>
      </w:r>
      <w:r>
        <w:br/>
        <w:t xml:space="preserve">hierarchies. </w:t>
      </w:r>
      <w:r w:rsidRPr="00E313D6">
        <w:rPr>
          <w:lang w:val="fr-FR"/>
        </w:rPr>
        <w:t>“Si le peintre de ruines ne me ramène pas aux vicissitudes de</w:t>
      </w:r>
      <w:r w:rsidRPr="00E313D6">
        <w:rPr>
          <w:lang w:val="fr-FR"/>
        </w:rPr>
        <w:br/>
        <w:t>la vie et à la vanité des travaux de l’homme, il n’a fait qu’un amas informe</w:t>
      </w:r>
      <w:r w:rsidRPr="00E313D6">
        <w:rPr>
          <w:lang w:val="fr-FR"/>
        </w:rPr>
        <w:br/>
        <w:t xml:space="preserve">de pierres” (1023). </w:t>
      </w:r>
      <w:r>
        <w:t>Chardin’s genre scenes—even when he works with</w:t>
      </w:r>
      <w:r>
        <w:br/>
        <w:t>humans—cannot possibly aspire to con</w:t>
      </w:r>
      <w:r>
        <w:rPr>
          <w:shd w:val="clear" w:color="auto" w:fill="80FFFF"/>
        </w:rPr>
        <w:t>ju</w:t>
      </w:r>
      <w:r>
        <w:t>ring such lofty thoughts.</w:t>
      </w:r>
    </w:p>
    <w:p w14:paraId="263F11D9" w14:textId="77777777" w:rsidR="007408BC" w:rsidRDefault="00000000">
      <w:pPr>
        <w:pStyle w:val="Bodytext10"/>
        <w:spacing w:line="293" w:lineRule="auto"/>
        <w:ind w:firstLine="300"/>
        <w:jc w:val="both"/>
      </w:pPr>
      <w:r>
        <w:t>No doubt still life too can be redeemed by metaphysical messaging:</w:t>
      </w:r>
      <w:r>
        <w:br/>
        <w:t>scholarship on Netherlandish genre painting has long been divided over</w:t>
      </w:r>
      <w:r>
        <w:br/>
        <w:t>whether its objects invite Christian meditation on the transience of worldly</w:t>
      </w:r>
      <w:r>
        <w:br/>
        <w:t>pleasure, or whether they are simply set before a leveling, non-</w:t>
      </w:r>
      <w:r>
        <w:rPr>
          <w:shd w:val="clear" w:color="auto" w:fill="80FFFF"/>
        </w:rPr>
        <w:t>ju</w:t>
      </w:r>
      <w:r>
        <w:t>dgme</w:t>
      </w:r>
      <w:r>
        <w:rPr>
          <w:shd w:val="clear" w:color="auto" w:fill="80FFFF"/>
        </w:rPr>
        <w:t>nt</w:t>
      </w:r>
      <w:r>
        <w:t>al</w:t>
      </w:r>
      <w:r>
        <w:br/>
        <w:t xml:space="preserve">gaze that one might qualify as </w:t>
      </w:r>
      <w:r>
        <w:rPr>
          <w:i/>
          <w:iCs/>
        </w:rPr>
        <w:t>avant la lettre</w:t>
      </w:r>
      <w:r>
        <w:t xml:space="preserve"> aesthetic.</w:t>
      </w:r>
      <w:r>
        <w:rPr>
          <w:shd w:val="clear" w:color="auto" w:fill="80FFFF"/>
          <w:vertAlign w:val="superscript"/>
        </w:rPr>
        <w:footnoteReference w:id="36"/>
      </w:r>
      <w:r>
        <w:t xml:space="preserve"> Yet Chardin is</w:t>
      </w:r>
      <w:r>
        <w:br/>
        <w:t>never the occasion for Diderot to brood over life’s vicissitudes; the flesh</w:t>
      </w:r>
      <w:r>
        <w:br/>
        <w:t>of the famous skate is not the occasion for ashes-to-ashes thoughts on</w:t>
      </w:r>
      <w:r>
        <w:br/>
        <w:t>the perishability of all flesh.</w:t>
      </w:r>
      <w:r>
        <w:rPr>
          <w:vertAlign w:val="superscript"/>
        </w:rPr>
        <w:footnoteReference w:id="37"/>
      </w:r>
      <w:r>
        <w:t xml:space="preserve"> But nor is the “it’s-the-very-thing” mode</w:t>
      </w:r>
      <w:r>
        <w:br/>
        <w:t>that Diderot does adopt anything like a dispassionate gaze upon the real:</w:t>
      </w:r>
      <w:r>
        <w:br/>
        <w:t>instead, he is drawn into the commonplaces of early modern discourse on</w:t>
      </w:r>
      <w:r>
        <w:br w:type="page"/>
      </w:r>
      <w:r>
        <w:lastRenderedPageBreak/>
        <w:t>the arts and their effect. According to such commonplaces, the hierarchy</w:t>
      </w:r>
      <w:r>
        <w:br/>
        <w:t>of artistic subject matter merely repeats the hierarchy inscribed in nature</w:t>
      </w:r>
      <w:r>
        <w:br/>
        <w:t xml:space="preserve">itself. We admire heroes </w:t>
      </w:r>
      <w:proofErr w:type="gramStart"/>
      <w:r>
        <w:t>in reality and</w:t>
      </w:r>
      <w:proofErr w:type="gramEnd"/>
      <w:r>
        <w:t xml:space="preserve"> therefore also in representation,</w:t>
      </w:r>
      <w:r>
        <w:br/>
        <w:t>whereas the reason we are not deeply affected by pictures of fruit is that</w:t>
      </w:r>
      <w:r>
        <w:br/>
        <w:t>real fruit is not interesting, and the reason painters should not paint ugly</w:t>
      </w:r>
      <w:r>
        <w:br/>
        <w:t>objects is that their paintings of them will be, by definition, ugly.</w:t>
      </w:r>
    </w:p>
    <w:p w14:paraId="5C9C8886" w14:textId="77777777" w:rsidR="007408BC" w:rsidRDefault="00000000">
      <w:pPr>
        <w:pStyle w:val="Bodytext10"/>
        <w:spacing w:line="286" w:lineRule="auto"/>
        <w:jc w:val="both"/>
      </w:pPr>
      <w:r w:rsidRPr="00E313D6">
        <w:rPr>
          <w:lang w:val="fr-FR"/>
        </w:rPr>
        <w:t xml:space="preserve">Yet, for some reason, not </w:t>
      </w:r>
      <w:proofErr w:type="gramStart"/>
      <w:r w:rsidRPr="00E313D6">
        <w:rPr>
          <w:lang w:val="fr-FR"/>
        </w:rPr>
        <w:t>quite:</w:t>
      </w:r>
      <w:proofErr w:type="gramEnd"/>
      <w:r w:rsidRPr="00E313D6">
        <w:rPr>
          <w:lang w:val="fr-FR"/>
        </w:rPr>
        <w:t xml:space="preserve"> “Quelle vanité que la peinture, qui attire</w:t>
      </w:r>
      <w:r w:rsidRPr="00E313D6">
        <w:rPr>
          <w:lang w:val="fr-FR"/>
        </w:rPr>
        <w:br/>
        <w:t>notre admiration par la ressemblance des choses dont on n’admire point les</w:t>
      </w:r>
      <w:r w:rsidRPr="00E313D6">
        <w:rPr>
          <w:lang w:val="fr-FR"/>
        </w:rPr>
        <w:br/>
        <w:t>originaux.”</w:t>
      </w:r>
      <w:r>
        <w:rPr>
          <w:shd w:val="clear" w:color="auto" w:fill="80FFFF"/>
          <w:vertAlign w:val="superscript"/>
        </w:rPr>
        <w:footnoteReference w:id="38"/>
      </w:r>
      <w:r w:rsidRPr="00E313D6">
        <w:rPr>
          <w:shd w:val="clear" w:color="auto" w:fill="80FFFF"/>
          <w:vertAlign w:val="superscript"/>
          <w:lang w:val="fr-FR"/>
        </w:rPr>
        <w:t xml:space="preserve"> </w:t>
      </w:r>
      <w:r>
        <w:rPr>
          <w:shd w:val="clear" w:color="auto" w:fill="80FFFF"/>
          <w:vertAlign w:val="superscript"/>
        </w:rPr>
        <w:footnoteReference w:id="39"/>
      </w:r>
      <w:r w:rsidRPr="00E313D6">
        <w:rPr>
          <w:lang w:val="fr-FR"/>
        </w:rPr>
        <w:t xml:space="preserve"> </w:t>
      </w:r>
      <w:r>
        <w:t>While not following Pascal in taking the paradox as proof of</w:t>
      </w:r>
      <w:r>
        <w:br/>
        <w:t>mankind’s perversity, theorists routinely allowed, as did he, for some sort of</w:t>
      </w:r>
      <w:r>
        <w:br/>
        <w:t>pleasure in representation of the low. “We en</w:t>
      </w:r>
      <w:r>
        <w:rPr>
          <w:shd w:val="clear" w:color="auto" w:fill="80FFFF"/>
        </w:rPr>
        <w:t>jo</w:t>
      </w:r>
      <w:r>
        <w:t>y looking at the most exact</w:t>
      </w:r>
      <w:r>
        <w:br/>
        <w:t>portrayals of things we do not like to see in real life, the lowest animals, for</w:t>
      </w:r>
      <w:r>
        <w:br/>
        <w:t xml:space="preserve">instance, or corpses,” observed Aristotle in the </w:t>
      </w:r>
      <w:r>
        <w:rPr>
          <w:i/>
          <w:iCs/>
        </w:rPr>
        <w:t>Poetics</w:t>
      </w:r>
      <w:r>
        <w:rPr>
          <w:i/>
          <w:iCs/>
          <w:shd w:val="clear" w:color="auto" w:fill="80FFFF"/>
        </w:rPr>
        <w:t>,</w:t>
      </w:r>
      <w:r>
        <w:rPr>
          <w:i/>
          <w:iCs/>
        </w:rPr>
        <w:t xml:space="preserve"> </w:t>
      </w:r>
      <w:r>
        <w:rPr>
          <w:i/>
          <w:iCs/>
          <w:shd w:val="clear" w:color="auto" w:fill="80FFFF"/>
        </w:rPr>
        <w:t>'''</w:t>
      </w:r>
      <w:r>
        <w:t xml:space="preserve"> and while he didn’t</w:t>
      </w:r>
      <w:r>
        <w:br/>
        <w:t>explain the source of the pleasure, his seventeenth-century followers did. It’s</w:t>
      </w:r>
      <w:r>
        <w:br/>
        <w:t>a pleasurable reaction to human handiwork itself, one that implies that the</w:t>
      </w:r>
      <w:r>
        <w:br/>
        <w:t xml:space="preserve">illusion is always transparent. </w:t>
      </w:r>
      <w:r w:rsidRPr="00E313D6">
        <w:rPr>
          <w:lang w:val="fr-FR"/>
        </w:rPr>
        <w:t xml:space="preserve">Boileau’s formulation is the most </w:t>
      </w:r>
      <w:proofErr w:type="gramStart"/>
      <w:r w:rsidRPr="00E313D6">
        <w:rPr>
          <w:lang w:val="fr-FR"/>
        </w:rPr>
        <w:t>famous:</w:t>
      </w:r>
      <w:proofErr w:type="gramEnd"/>
      <w:r w:rsidRPr="00E313D6">
        <w:rPr>
          <w:lang w:val="fr-FR"/>
        </w:rPr>
        <w:t xml:space="preserve"> “Il</w:t>
      </w:r>
      <w:r w:rsidRPr="00E313D6">
        <w:rPr>
          <w:lang w:val="fr-FR"/>
        </w:rPr>
        <w:br/>
        <w:t>n est point de serpent ni de monstre odieux / Qui par l’art imité ne puisse</w:t>
      </w:r>
      <w:r w:rsidRPr="00E313D6">
        <w:rPr>
          <w:lang w:val="fr-FR"/>
        </w:rPr>
        <w:br/>
        <w:t>plaire aux yeux / D’un pinceau délicat l’artifice agréable / Du plus affreux</w:t>
      </w:r>
      <w:r w:rsidRPr="00E313D6">
        <w:rPr>
          <w:lang w:val="fr-FR"/>
        </w:rPr>
        <w:br/>
        <w:t>objet fait un objet aimable.”</w:t>
      </w:r>
      <w:r>
        <w:rPr>
          <w:vertAlign w:val="superscript"/>
        </w:rPr>
        <w:footnoteReference w:id="40"/>
      </w:r>
      <w:r w:rsidRPr="00E313D6">
        <w:rPr>
          <w:lang w:val="fr-FR"/>
        </w:rPr>
        <w:t xml:space="preserve"> But it is far from the only one. Lamy, to cite</w:t>
      </w:r>
      <w:r w:rsidRPr="00E313D6">
        <w:rPr>
          <w:lang w:val="fr-FR"/>
        </w:rPr>
        <w:br/>
        <w:t xml:space="preserve">but one other </w:t>
      </w:r>
      <w:proofErr w:type="gramStart"/>
      <w:r w:rsidRPr="00E313D6">
        <w:rPr>
          <w:lang w:val="fr-FR"/>
        </w:rPr>
        <w:t>example:</w:t>
      </w:r>
      <w:proofErr w:type="gramEnd"/>
      <w:r w:rsidRPr="00E313D6">
        <w:rPr>
          <w:lang w:val="fr-FR"/>
        </w:rPr>
        <w:t xml:space="preserve"> “Ce qui plait n’est pas la vue d’un serpent qui est</w:t>
      </w:r>
      <w:r w:rsidRPr="00E313D6">
        <w:rPr>
          <w:lang w:val="fr-FR"/>
        </w:rPr>
        <w:br/>
        <w:t>peint; [...] mais ce qui fait plaisir c’est l’esprit du peintre qui a su atteindre la</w:t>
      </w:r>
      <w:r w:rsidRPr="00E313D6">
        <w:rPr>
          <w:lang w:val="fr-FR"/>
        </w:rPr>
        <w:br/>
        <w:t>fin de son art.”</w:t>
      </w:r>
      <w:r>
        <w:rPr>
          <w:vertAlign w:val="superscript"/>
        </w:rPr>
        <w:footnoteReference w:id="41"/>
      </w:r>
      <w:r w:rsidRPr="00E313D6">
        <w:rPr>
          <w:lang w:val="fr-FR"/>
        </w:rPr>
        <w:t xml:space="preserve"> </w:t>
      </w:r>
      <w:r>
        <w:t>Surely, then, Jacqueline Lichtenstein is right not only to say</w:t>
      </w:r>
      <w:r>
        <w:br/>
        <w:t>that eighteenth-century theorists “s’efforcent de montrer [...] que l’illusion</w:t>
      </w:r>
      <w:r>
        <w:br/>
        <w:t>picturale [...] n’est pas une véritable illusion,” but also that when they do so,</w:t>
      </w:r>
      <w:r>
        <w:br/>
        <w:t>they are prolonging a line of thought present since the Renaissance.</w:t>
      </w:r>
      <w:r>
        <w:rPr>
          <w:vertAlign w:val="superscript"/>
        </w:rPr>
        <w:footnoteReference w:id="42"/>
      </w:r>
      <w:r>
        <w:br w:type="page"/>
      </w:r>
    </w:p>
    <w:p w14:paraId="7C2E5C96" w14:textId="77777777" w:rsidR="007408BC" w:rsidRDefault="00000000">
      <w:pPr>
        <w:pStyle w:val="Bodytext10"/>
        <w:spacing w:after="100" w:line="295" w:lineRule="auto"/>
        <w:jc w:val="both"/>
      </w:pPr>
      <w:r>
        <w:lastRenderedPageBreak/>
        <w:t xml:space="preserve">It is in this context that we should reread the passage on </w:t>
      </w:r>
      <w:r>
        <w:rPr>
          <w:i/>
          <w:iCs/>
        </w:rPr>
        <w:t>La Raie</w:t>
      </w:r>
      <w:r>
        <w:rPr>
          <w:i/>
          <w:iCs/>
        </w:rPr>
        <w:br/>
        <w:t>dépouillée.</w:t>
      </w:r>
    </w:p>
    <w:p w14:paraId="19A2D384" w14:textId="77777777" w:rsidR="007408BC" w:rsidRDefault="00000000">
      <w:pPr>
        <w:pStyle w:val="Bodytext20"/>
        <w:jc w:val="both"/>
      </w:pPr>
      <w:r w:rsidRPr="00E313D6">
        <w:rPr>
          <w:lang w:val="fr-FR"/>
        </w:rPr>
        <w:t xml:space="preserve">L’objet est </w:t>
      </w:r>
      <w:proofErr w:type="gramStart"/>
      <w:r w:rsidRPr="00E313D6">
        <w:rPr>
          <w:lang w:val="fr-FR"/>
        </w:rPr>
        <w:t>dégoûtant;</w:t>
      </w:r>
      <w:proofErr w:type="gramEnd"/>
      <w:r w:rsidRPr="00E313D6">
        <w:rPr>
          <w:lang w:val="fr-FR"/>
        </w:rPr>
        <w:t xml:space="preserve"> mais c’est la chair même du poisson. C’est la peau.</w:t>
      </w:r>
      <w:r w:rsidRPr="00E313D6">
        <w:rPr>
          <w:lang w:val="fr-FR"/>
        </w:rPr>
        <w:br/>
        <w:t xml:space="preserve">C’est son </w:t>
      </w:r>
      <w:proofErr w:type="gramStart"/>
      <w:r w:rsidRPr="00E313D6">
        <w:rPr>
          <w:lang w:val="fr-FR"/>
        </w:rPr>
        <w:t>sang;</w:t>
      </w:r>
      <w:proofErr w:type="gramEnd"/>
      <w:r w:rsidRPr="00E313D6">
        <w:rPr>
          <w:lang w:val="fr-FR"/>
        </w:rPr>
        <w:t xml:space="preserve"> l’aspect même de la chose n’affecterait pas autrement.</w:t>
      </w:r>
      <w:r w:rsidRPr="00E313D6">
        <w:rPr>
          <w:lang w:val="fr-FR"/>
        </w:rPr>
        <w:br/>
        <w:t>M. Pierre, regardez bien ce morceau [...] et apprenez, si vous pouvez, le</w:t>
      </w:r>
      <w:r w:rsidRPr="00E313D6">
        <w:rPr>
          <w:lang w:val="fr-FR"/>
        </w:rPr>
        <w:br/>
        <w:t xml:space="preserve">secret de sauver par le talent le dégoût de certaines natures. </w:t>
      </w:r>
      <w:r>
        <w:t>(265)</w:t>
      </w:r>
    </w:p>
    <w:p w14:paraId="16992D85" w14:textId="77777777" w:rsidR="007408BC" w:rsidRDefault="00000000">
      <w:pPr>
        <w:pStyle w:val="Bodytext10"/>
        <w:spacing w:line="295" w:lineRule="auto"/>
        <w:ind w:firstLine="0"/>
        <w:jc w:val="both"/>
      </w:pPr>
      <w:r>
        <w:t xml:space="preserve">The articulations are not always explicit: for example, what work is the </w:t>
      </w:r>
      <w:r>
        <w:rPr>
          <w:i/>
          <w:iCs/>
        </w:rPr>
        <w:t>mais</w:t>
      </w:r>
      <w:r>
        <w:rPr>
          <w:i/>
          <w:iCs/>
        </w:rPr>
        <w:br/>
      </w:r>
      <w:r>
        <w:t>doing here?</w:t>
      </w:r>
      <w:r>
        <w:rPr>
          <w:vertAlign w:val="superscript"/>
        </w:rPr>
        <w:footnoteReference w:id="43"/>
      </w:r>
      <w:r>
        <w:t xml:space="preserve"> Still, the basic idea of talent somehow “secret[ly]” redeeming</w:t>
      </w:r>
      <w:r>
        <w:br/>
        <w:t>our disgust before the accurately represented object is such a commonplace</w:t>
      </w:r>
      <w:r>
        <w:br/>
        <w:t>that there’s little call to kick into hermeneutic overdrive. And the fact that</w:t>
      </w:r>
      <w:r>
        <w:br/>
        <w:t>it’s at this point that Diderot starts cooing over Chardin’s brushwork (“Ce</w:t>
      </w:r>
      <w:r>
        <w:br/>
        <w:t>sont des couches épaisses [...]”) confirms that the basic argumentative</w:t>
      </w:r>
      <w:r>
        <w:br/>
        <w:t xml:space="preserve">infrastructure is </w:t>
      </w:r>
      <w:proofErr w:type="gramStart"/>
      <w:r>
        <w:t>standard-issue</w:t>
      </w:r>
      <w:proofErr w:type="gramEnd"/>
      <w:r>
        <w:t xml:space="preserve"> for the period: anyone familiar with</w:t>
      </w:r>
      <w:r>
        <w:br/>
        <w:t>passages such as Boileau’s and Lamy’s will find that Diderot attends to paint</w:t>
      </w:r>
      <w:r>
        <w:br/>
        <w:t>and the canvas exactly when one would expect him to. Meanwhile, we’ve</w:t>
      </w:r>
      <w:r>
        <w:br/>
        <w:t xml:space="preserve">already seen the verb </w:t>
      </w:r>
      <w:r>
        <w:rPr>
          <w:i/>
          <w:iCs/>
        </w:rPr>
        <w:t>sauver</w:t>
      </w:r>
      <w:r>
        <w:t xml:space="preserve"> come up in the context of subject matter of</w:t>
      </w:r>
      <w:r>
        <w:br/>
        <w:t xml:space="preserve">doubtful interest, as when the </w:t>
      </w:r>
      <w:r>
        <w:rPr>
          <w:i/>
          <w:iCs/>
        </w:rPr>
        <w:t>manière heurtée</w:t>
      </w:r>
      <w:r>
        <w:t xml:space="preserve"> of Loutherbourg, Casanove,</w:t>
      </w:r>
      <w:r>
        <w:br/>
        <w:t>and Chardin “sauve l’ouvrage de la petitesse de forme” (1763; 269). Yet</w:t>
      </w:r>
      <w:r>
        <w:br/>
        <w:t xml:space="preserve">the transgression of generic hierarchy entails effects that can be </w:t>
      </w:r>
      <w:r>
        <w:rPr>
          <w:i/>
          <w:iCs/>
        </w:rPr>
        <w:t>mitigated</w:t>
      </w:r>
      <w:r>
        <w:rPr>
          <w:i/>
          <w:iCs/>
        </w:rPr>
        <w:br/>
      </w:r>
      <w:r>
        <w:t xml:space="preserve">by technical magic, but never overcome. </w:t>
      </w:r>
      <w:r w:rsidRPr="00E313D6">
        <w:rPr>
          <w:lang w:val="fr-FR"/>
        </w:rPr>
        <w:t>“Celui [...] qui se négligera sur</w:t>
      </w:r>
      <w:r w:rsidRPr="00E313D6">
        <w:rPr>
          <w:lang w:val="fr-FR"/>
        </w:rPr>
        <w:br/>
        <w:t xml:space="preserve">le choix du sujet se privera de la meilleure partie de son </w:t>
      </w:r>
      <w:proofErr w:type="gramStart"/>
      <w:r w:rsidRPr="00E313D6">
        <w:rPr>
          <w:lang w:val="fr-FR"/>
        </w:rPr>
        <w:t>avantage;</w:t>
      </w:r>
      <w:proofErr w:type="gramEnd"/>
      <w:r w:rsidRPr="00E313D6">
        <w:rPr>
          <w:lang w:val="fr-FR"/>
        </w:rPr>
        <w:t xml:space="preserve"> c’est un</w:t>
      </w:r>
      <w:r w:rsidRPr="00E313D6">
        <w:rPr>
          <w:lang w:val="fr-FR"/>
        </w:rPr>
        <w:br/>
        <w:t xml:space="preserve">magicien maladroit qui casse en deux sa baguette” (1767; </w:t>
      </w:r>
      <w:r w:rsidRPr="00E313D6">
        <w:rPr>
          <w:shd w:val="clear" w:color="auto" w:fill="80FFFF"/>
          <w:lang w:val="fr-FR"/>
        </w:rPr>
        <w:t>611</w:t>
      </w:r>
      <w:r w:rsidRPr="00E313D6">
        <w:rPr>
          <w:lang w:val="fr-FR"/>
        </w:rPr>
        <w:t xml:space="preserve">). </w:t>
      </w:r>
      <w:r>
        <w:t>And so</w:t>
      </w:r>
      <w:r>
        <w:br/>
        <w:t>Diderot dreams more than once of an artist capable of combining worthy</w:t>
      </w:r>
      <w:r>
        <w:br/>
        <w:t>subject matter (“des idées intéressantes”) and perfect technique (“un faire</w:t>
      </w:r>
      <w:r>
        <w:br/>
        <w:t>étonnant” [1765; 342]).</w:t>
      </w:r>
    </w:p>
    <w:p w14:paraId="0D74147F" w14:textId="77777777" w:rsidR="007408BC" w:rsidRDefault="00000000">
      <w:pPr>
        <w:pStyle w:val="Bodytext10"/>
        <w:spacing w:after="260" w:line="295" w:lineRule="auto"/>
        <w:jc w:val="both"/>
      </w:pPr>
      <w:r>
        <w:t>Are Diderot’s entries on Chardin and Verne</w:t>
      </w:r>
      <w:r>
        <w:rPr>
          <w:shd w:val="clear" w:color="auto" w:fill="80FFFF"/>
        </w:rPr>
        <w:t>r</w:t>
      </w:r>
      <w:r>
        <w:t xml:space="preserve"> ambiguous and rich in</w:t>
      </w:r>
      <w:r>
        <w:br/>
        <w:t>ways that the works of predecessors and contemporaries are not? Of course.</w:t>
      </w:r>
      <w:r>
        <w:br/>
        <w:t xml:space="preserve">But this does not mean that Diderot’s </w:t>
      </w:r>
      <w:r>
        <w:rPr>
          <w:i/>
          <w:iCs/>
        </w:rPr>
        <w:t>Salons</w:t>
      </w:r>
      <w:r>
        <w:t xml:space="preserve"> do anything particularly</w:t>
      </w:r>
      <w:r>
        <w:br/>
        <w:t>momentous in the history of aesthetic discourse. Characterizing his</w:t>
      </w:r>
      <w:r>
        <w:br/>
        <w:t>attention to Chardin’s redemptive</w:t>
      </w:r>
      <w:r>
        <w:rPr>
          <w:shd w:val="clear" w:color="auto" w:fill="80FFFF"/>
        </w:rPr>
        <w:t xml:space="preserve"> </w:t>
      </w:r>
      <w:r>
        <w:rPr>
          <w:i/>
          <w:iCs/>
        </w:rPr>
        <w:t>faire</w:t>
      </w:r>
      <w:r>
        <w:t xml:space="preserve"> as a new attention to the medium</w:t>
      </w:r>
      <w:r>
        <w:br/>
        <w:t>and an epochal recognition of the barrenness of the western mimetic</w:t>
      </w:r>
      <w:r>
        <w:br/>
        <w:t>tradition is simply wishful thinking. No less wishful is the idea that his</w:t>
      </w:r>
      <w:r>
        <w:br w:type="page"/>
      </w:r>
      <w:r>
        <w:lastRenderedPageBreak/>
        <w:t>admiration for Verner and Chardin breaks down the hierarchy of the</w:t>
      </w:r>
      <w:r>
        <w:br/>
        <w:t>genres, whose premise—the interest of a represented object or person is</w:t>
      </w:r>
      <w:r>
        <w:br/>
        <w:t xml:space="preserve">the same as that of a real object or person—is instead </w:t>
      </w:r>
      <w:r>
        <w:rPr>
          <w:i/>
          <w:iCs/>
        </w:rPr>
        <w:t>everywhere</w:t>
      </w:r>
      <w:r>
        <w:t xml:space="preserve"> restated</w:t>
      </w:r>
      <w:r>
        <w:br/>
        <w:t>and reaffirmed. Diderot does certainly turn over the paradox that this</w:t>
      </w:r>
      <w:r>
        <w:br/>
        <w:t xml:space="preserve">premise leads </w:t>
      </w:r>
      <w:proofErr w:type="gramStart"/>
      <w:r>
        <w:t>to:</w:t>
      </w:r>
      <w:proofErr w:type="gramEnd"/>
      <w:r>
        <w:t xml:space="preserve"> even though art’s effects depend on us taking the thing</w:t>
      </w:r>
      <w:r>
        <w:br/>
        <w:t>depicted for a real thing, we always know that we are looking at art. But</w:t>
      </w:r>
      <w:r>
        <w:br/>
        <w:t>the paradox was nothing new, and exploring it is not the same as setting</w:t>
      </w:r>
      <w:r>
        <w:br/>
        <w:t>it aside in order to develop a competing discourse on art’s functioning.</w:t>
      </w:r>
      <w:r>
        <w:br/>
        <w:t>Competing discourses would come: the passages on Dutch painting in</w:t>
      </w:r>
      <w:r>
        <w:br/>
        <w:t xml:space="preserve">Hegel’s </w:t>
      </w:r>
      <w:r>
        <w:rPr>
          <w:i/>
          <w:iCs/>
        </w:rPr>
        <w:t>Aesthetics</w:t>
      </w:r>
      <w:r>
        <w:t>—to take one example—are a good place to observe the</w:t>
      </w:r>
      <w:r>
        <w:br/>
        <w:t>tried-and-true commonplaces on subject matter mixing with legitimately</w:t>
      </w:r>
      <w:r>
        <w:br/>
        <w:t>non-</w:t>
      </w:r>
      <w:r>
        <w:rPr>
          <w:shd w:val="clear" w:color="auto" w:fill="80FFFF"/>
        </w:rPr>
        <w:t>A</w:t>
      </w:r>
      <w:r>
        <w:t xml:space="preserve">ristotelian categories such as “liveliness” </w:t>
      </w:r>
      <w:r>
        <w:rPr>
          <w:i/>
          <w:iCs/>
        </w:rPr>
        <w:t>(Lebendigkei</w:t>
      </w:r>
      <w:r>
        <w:rPr>
          <w:i/>
          <w:iCs/>
          <w:shd w:val="clear" w:color="auto" w:fill="80FFFF"/>
        </w:rPr>
        <w:t>t</w:t>
      </w:r>
      <w:r>
        <w:rPr>
          <w:i/>
          <w:iCs/>
        </w:rPr>
        <w:t xml:space="preserve">) </w:t>
      </w:r>
      <w:r>
        <w:t>and</w:t>
      </w:r>
      <w:r>
        <w:br/>
        <w:t xml:space="preserve">“intimacy” </w:t>
      </w:r>
      <w:r>
        <w:rPr>
          <w:i/>
          <w:iCs/>
        </w:rPr>
        <w:t>(Innigkeit)</w:t>
      </w:r>
      <w:r>
        <w:rPr>
          <w:i/>
          <w:iCs/>
          <w:shd w:val="clear" w:color="auto" w:fill="80FFFF"/>
        </w:rPr>
        <w:t>.</w:t>
      </w:r>
      <w:r>
        <w:rPr>
          <w:i/>
          <w:iCs/>
        </w:rPr>
        <w:t xml:space="preserve"> </w:t>
      </w:r>
      <w:r>
        <w:rPr>
          <w:i/>
          <w:iCs/>
          <w:shd w:val="clear" w:color="auto" w:fill="80FFFF"/>
        </w:rPr>
        <w:t>'</w:t>
      </w:r>
      <w:r>
        <w:rPr>
          <w:i/>
          <w:iCs/>
        </w:rPr>
        <w:t xml:space="preserve"> </w:t>
      </w:r>
      <w:r>
        <w:rPr>
          <w:i/>
          <w:iCs/>
          <w:shd w:val="clear" w:color="auto" w:fill="80FFFF"/>
        </w:rPr>
        <w:t>'</w:t>
      </w:r>
      <w:r>
        <w:t xml:space="preserve"> Hegel read the </w:t>
      </w:r>
      <w:r>
        <w:rPr>
          <w:i/>
          <w:iCs/>
        </w:rPr>
        <w:t>Essai sur la peinture</w:t>
      </w:r>
      <w:r>
        <w:t xml:space="preserve"> in Goethe’s</w:t>
      </w:r>
      <w:r>
        <w:br/>
        <w:t>translation, and this fact may tempt us into suspecting that Diderot may</w:t>
      </w:r>
      <w:r>
        <w:br/>
        <w:t>deserve some credit for initiating these very different ways of speaking. Yet</w:t>
      </w:r>
      <w:r>
        <w:br/>
        <w:t xml:space="preserve">the evidence simply does not bear this out. In his </w:t>
      </w:r>
      <w:r>
        <w:rPr>
          <w:i/>
          <w:iCs/>
        </w:rPr>
        <w:t>Salon</w:t>
      </w:r>
      <w:r>
        <w:rPr>
          <w:i/>
          <w:iCs/>
          <w:shd w:val="clear" w:color="auto" w:fill="80FFFF"/>
        </w:rPr>
        <w:t>s</w:t>
      </w:r>
      <w:r>
        <w:t>, Diderot is just</w:t>
      </w:r>
      <w:r>
        <w:br/>
        <w:t>giving his own riff—inimitable, but nevertheless not “modern”—on the</w:t>
      </w:r>
      <w:r>
        <w:br/>
        <w:t>thoroughly Aristotelian commonplaces that in his age still dominated the</w:t>
      </w:r>
      <w:r>
        <w:br/>
        <w:t>way people talked about art.</w:t>
      </w:r>
    </w:p>
    <w:p w14:paraId="3943030F" w14:textId="3DDD9A43" w:rsidR="007408BC" w:rsidRDefault="00000000">
      <w:pPr>
        <w:pStyle w:val="Bodytext10"/>
        <w:spacing w:after="3840" w:line="286" w:lineRule="auto"/>
        <w:ind w:left="3520" w:firstLine="0"/>
        <w:jc w:val="right"/>
      </w:pPr>
      <w:r>
        <w:t>Nicholas Paige</w:t>
      </w:r>
      <w:r>
        <w:br/>
      </w:r>
      <w:r>
        <w:rPr>
          <w:i/>
          <w:iCs/>
        </w:rPr>
        <w:t>University of California, Berkele</w:t>
      </w:r>
      <w:r w:rsidR="008B493A">
        <w:rPr>
          <w:i/>
          <w:iCs/>
        </w:rPr>
        <w:t>y</w:t>
      </w:r>
    </w:p>
    <w:p w14:paraId="5AD935C2" w14:textId="77777777" w:rsidR="007408BC" w:rsidRDefault="00000000">
      <w:pPr>
        <w:pStyle w:val="Bodytext20"/>
        <w:numPr>
          <w:ilvl w:val="0"/>
          <w:numId w:val="4"/>
        </w:numPr>
        <w:tabs>
          <w:tab w:val="left" w:pos="398"/>
        </w:tabs>
        <w:spacing w:after="0" w:line="254" w:lineRule="auto"/>
        <w:ind w:left="400" w:hanging="400"/>
        <w:jc w:val="both"/>
        <w:rPr>
          <w:sz w:val="17"/>
          <w:szCs w:val="17"/>
        </w:rPr>
      </w:pPr>
      <w:bookmarkStart w:id="3" w:name="bookmark9"/>
      <w:bookmarkEnd w:id="3"/>
      <w:r>
        <w:rPr>
          <w:sz w:val="17"/>
          <w:szCs w:val="17"/>
        </w:rPr>
        <w:t xml:space="preserve">See for instance chapter 2 of Benjamin Rutter, </w:t>
      </w:r>
      <w:r>
        <w:rPr>
          <w:i/>
          <w:iCs/>
          <w:sz w:val="17"/>
          <w:szCs w:val="17"/>
        </w:rPr>
        <w:t>Hegel on the Modern Arts,</w:t>
      </w:r>
      <w:r>
        <w:rPr>
          <w:sz w:val="17"/>
          <w:szCs w:val="17"/>
        </w:rPr>
        <w:t xml:space="preserve"> Cambridge,</w:t>
      </w:r>
      <w:r>
        <w:rPr>
          <w:sz w:val="17"/>
          <w:szCs w:val="17"/>
        </w:rPr>
        <w:br/>
      </w:r>
      <w:r>
        <w:rPr>
          <w:sz w:val="17"/>
          <w:szCs w:val="17"/>
        </w:rPr>
        <w:lastRenderedPageBreak/>
        <w:t>Cambridge University Press, 20</w:t>
      </w:r>
      <w:r>
        <w:rPr>
          <w:sz w:val="17"/>
          <w:szCs w:val="17"/>
          <w:shd w:val="clear" w:color="auto" w:fill="80FFFF"/>
        </w:rPr>
        <w:t>10</w:t>
      </w:r>
      <w:r>
        <w:rPr>
          <w:sz w:val="17"/>
          <w:szCs w:val="17"/>
        </w:rPr>
        <w:t>.</w:t>
      </w:r>
    </w:p>
    <w:sectPr w:rsidR="007408BC">
      <w:pgSz w:w="12240" w:h="15840"/>
      <w:pgMar w:top="3192" w:right="2931" w:bottom="2300" w:left="2954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2D4B" w14:textId="77777777" w:rsidR="005D7485" w:rsidRDefault="005D7485">
      <w:r>
        <w:separator/>
      </w:r>
    </w:p>
  </w:endnote>
  <w:endnote w:type="continuationSeparator" w:id="0">
    <w:p w14:paraId="3FB3D5FF" w14:textId="77777777" w:rsidR="005D7485" w:rsidRDefault="005D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2483" w14:textId="77777777" w:rsidR="005D7485" w:rsidRDefault="005D7485"/>
  </w:footnote>
  <w:footnote w:type="continuationSeparator" w:id="0">
    <w:p w14:paraId="26AF3CAF" w14:textId="77777777" w:rsidR="005D7485" w:rsidRDefault="005D7485"/>
  </w:footnote>
  <w:footnote w:id="1">
    <w:p w14:paraId="4B9DBBB2" w14:textId="77777777" w:rsidR="007408BC" w:rsidRDefault="00000000">
      <w:pPr>
        <w:pStyle w:val="Footnote10"/>
        <w:tabs>
          <w:tab w:val="left" w:pos="384"/>
        </w:tabs>
        <w:spacing w:line="252" w:lineRule="auto"/>
        <w:ind w:left="380" w:hanging="380"/>
        <w:jc w:val="both"/>
      </w:pPr>
      <w:r>
        <w:rPr>
          <w:shd w:val="clear" w:color="auto" w:fill="80FFFF"/>
        </w:rPr>
        <w:footnoteRef/>
      </w:r>
      <w:r>
        <w:tab/>
        <w:t>Since all references to Diderot s writings will be drawn from this same edition and</w:t>
      </w:r>
      <w:r>
        <w:br/>
        <w:t xml:space="preserve">volume, parentheses will supply page numbers alone, along with the year of the </w:t>
      </w:r>
      <w:r>
        <w:rPr>
          <w:i/>
          <w:iCs/>
        </w:rPr>
        <w:t>Salon</w:t>
      </w:r>
      <w:r>
        <w:rPr>
          <w:i/>
          <w:iCs/>
        </w:rPr>
        <w:br/>
      </w:r>
      <w:r>
        <w:t>if not evident from the text.</w:t>
      </w:r>
    </w:p>
  </w:footnote>
  <w:footnote w:id="2">
    <w:p w14:paraId="7D368948" w14:textId="77777777" w:rsidR="007408BC" w:rsidRDefault="00000000">
      <w:pPr>
        <w:pStyle w:val="Footnote10"/>
        <w:tabs>
          <w:tab w:val="left" w:pos="398"/>
        </w:tabs>
        <w:ind w:left="380" w:hanging="380"/>
      </w:pPr>
      <w:r>
        <w:footnoteRef/>
      </w:r>
      <w:r>
        <w:tab/>
        <w:t xml:space="preserve">Michael Fried, </w:t>
      </w:r>
      <w:r>
        <w:rPr>
          <w:i/>
          <w:iCs/>
        </w:rPr>
        <w:t>Absorption and Theatricalit</w:t>
      </w:r>
      <w:r>
        <w:rPr>
          <w:i/>
          <w:iCs/>
          <w:shd w:val="clear" w:color="auto" w:fill="80FFFF"/>
        </w:rPr>
        <w:t>y</w:t>
      </w:r>
      <w:r>
        <w:rPr>
          <w:i/>
          <w:iCs/>
        </w:rPr>
        <w:t>: Painting and Beholder in the Age of</w:t>
      </w:r>
      <w:r>
        <w:rPr>
          <w:i/>
          <w:iCs/>
        </w:rPr>
        <w:br/>
        <w:t>Didero</w:t>
      </w:r>
      <w:r>
        <w:rPr>
          <w:i/>
          <w:iCs/>
          <w:shd w:val="clear" w:color="auto" w:fill="80FFFF"/>
        </w:rPr>
        <w:t>t</w:t>
      </w:r>
      <w:r>
        <w:t xml:space="preserve">, Berkeley, University of California Press, </w:t>
      </w:r>
      <w:r>
        <w:rPr>
          <w:shd w:val="clear" w:color="auto" w:fill="80FFFF"/>
        </w:rPr>
        <w:t>19</w:t>
      </w:r>
      <w:r>
        <w:t>80, p. 10.</w:t>
      </w:r>
    </w:p>
  </w:footnote>
  <w:footnote w:id="3">
    <w:p w14:paraId="303D8565" w14:textId="77777777" w:rsidR="007408BC" w:rsidRDefault="00000000">
      <w:pPr>
        <w:pStyle w:val="Footnote10"/>
        <w:tabs>
          <w:tab w:val="left" w:pos="398"/>
        </w:tabs>
        <w:ind w:hanging="400"/>
      </w:pPr>
      <w:r>
        <w:footnoteRef/>
      </w:r>
      <w:r>
        <w:tab/>
        <w:t>Christopher Braider, “Groping in the Dark: Aesthetics and Ontology in Diderot and</w:t>
      </w:r>
      <w:r>
        <w:br/>
        <w:t xml:space="preserve">Kant,” </w:t>
      </w:r>
      <w:r>
        <w:rPr>
          <w:i/>
          <w:iCs/>
        </w:rPr>
        <w:t>Word and Image 2</w:t>
      </w:r>
      <w:r>
        <w:rPr>
          <w:i/>
          <w:iCs/>
          <w:shd w:val="clear" w:color="auto" w:fill="80FFFF"/>
        </w:rPr>
        <w:t>9</w:t>
      </w:r>
      <w:r>
        <w:rPr>
          <w:i/>
          <w:iCs/>
        </w:rPr>
        <w:t xml:space="preserve"> </w:t>
      </w:r>
      <w:r>
        <w:rPr>
          <w:i/>
          <w:iCs/>
          <w:shd w:val="clear" w:color="auto" w:fill="80FFFF"/>
        </w:rPr>
        <w:t>A</w:t>
      </w:r>
      <w:r>
        <w:t xml:space="preserve"> (2013), p. 105-6.</w:t>
      </w:r>
    </w:p>
  </w:footnote>
  <w:footnote w:id="4">
    <w:p w14:paraId="43333F72" w14:textId="77777777" w:rsidR="007408BC" w:rsidRPr="00E313D6" w:rsidRDefault="00000000">
      <w:pPr>
        <w:pStyle w:val="Footnote10"/>
        <w:tabs>
          <w:tab w:val="left" w:pos="398"/>
        </w:tabs>
        <w:ind w:left="0" w:firstLine="0"/>
        <w:jc w:val="both"/>
        <w:rPr>
          <w:lang w:val="fr-FR"/>
        </w:rPr>
      </w:pPr>
      <w:r>
        <w:footnoteRef/>
      </w:r>
      <w:r w:rsidRPr="00E313D6">
        <w:rPr>
          <w:lang w:val="fr-FR"/>
        </w:rPr>
        <w:tab/>
        <w:t xml:space="preserve">Stéphane Lojkine, </w:t>
      </w:r>
      <w:r w:rsidRPr="00E313D6">
        <w:rPr>
          <w:i/>
          <w:iCs/>
          <w:lang w:val="fr-FR"/>
        </w:rPr>
        <w:t>L</w:t>
      </w:r>
      <w:r w:rsidRPr="00E313D6">
        <w:rPr>
          <w:i/>
          <w:iCs/>
          <w:shd w:val="clear" w:color="auto" w:fill="80FFFF"/>
          <w:lang w:val="fr-FR"/>
        </w:rPr>
        <w:t>’</w:t>
      </w:r>
      <w:r w:rsidRPr="00E313D6">
        <w:rPr>
          <w:i/>
          <w:iCs/>
          <w:lang w:val="fr-FR"/>
        </w:rPr>
        <w:t xml:space="preserve">Œil </w:t>
      </w:r>
      <w:proofErr w:type="gramStart"/>
      <w:r w:rsidRPr="00E313D6">
        <w:rPr>
          <w:i/>
          <w:iCs/>
          <w:lang w:val="fr-FR"/>
        </w:rPr>
        <w:t>révolt</w:t>
      </w:r>
      <w:r w:rsidRPr="00E313D6">
        <w:rPr>
          <w:i/>
          <w:iCs/>
          <w:shd w:val="clear" w:color="auto" w:fill="80FFFF"/>
          <w:lang w:val="fr-FR"/>
        </w:rPr>
        <w:t>é:</w:t>
      </w:r>
      <w:proofErr w:type="gramEnd"/>
      <w:r w:rsidRPr="00E313D6">
        <w:rPr>
          <w:i/>
          <w:iCs/>
          <w:lang w:val="fr-FR"/>
        </w:rPr>
        <w:t xml:space="preserve"> Les Salons de Didero</w:t>
      </w:r>
      <w:r w:rsidRPr="00E313D6">
        <w:rPr>
          <w:i/>
          <w:iCs/>
          <w:shd w:val="clear" w:color="auto" w:fill="80FFFF"/>
          <w:lang w:val="fr-FR"/>
        </w:rPr>
        <w:t>t</w:t>
      </w:r>
      <w:r w:rsidRPr="00E313D6">
        <w:rPr>
          <w:lang w:val="fr-FR"/>
        </w:rPr>
        <w:t>, Arles, Actes Sud, 2007, p. 448.</w:t>
      </w:r>
    </w:p>
  </w:footnote>
  <w:footnote w:id="5">
    <w:p w14:paraId="2015C465" w14:textId="77777777" w:rsidR="007408BC" w:rsidRPr="00E313D6" w:rsidRDefault="00000000">
      <w:pPr>
        <w:pStyle w:val="Footnote10"/>
        <w:tabs>
          <w:tab w:val="left" w:pos="394"/>
        </w:tabs>
        <w:ind w:left="0" w:firstLine="0"/>
        <w:jc w:val="right"/>
        <w:rPr>
          <w:lang w:val="fr-FR"/>
        </w:rPr>
      </w:pPr>
      <w:r>
        <w:rPr>
          <w:i/>
          <w:iCs/>
        </w:rPr>
        <w:footnoteRef/>
      </w:r>
      <w:r w:rsidRPr="00E313D6">
        <w:rPr>
          <w:lang w:val="fr-FR"/>
        </w:rPr>
        <w:tab/>
        <w:t xml:space="preserve">See Emmanuelle Hénin, “Les Enfants de </w:t>
      </w:r>
      <w:proofErr w:type="gramStart"/>
      <w:r w:rsidRPr="00E313D6">
        <w:rPr>
          <w:lang w:val="fr-FR"/>
        </w:rPr>
        <w:t>Piraïcos:</w:t>
      </w:r>
      <w:proofErr w:type="gramEnd"/>
      <w:r w:rsidRPr="00E313D6">
        <w:rPr>
          <w:lang w:val="fr-FR"/>
        </w:rPr>
        <w:t xml:space="preserve"> L'Am</w:t>
      </w:r>
      <w:r w:rsidRPr="00E313D6">
        <w:rPr>
          <w:shd w:val="clear" w:color="auto" w:fill="80FFFF"/>
          <w:lang w:val="fr-FR"/>
        </w:rPr>
        <w:t>b</w:t>
      </w:r>
      <w:r w:rsidRPr="00E313D6">
        <w:rPr>
          <w:lang w:val="fr-FR"/>
        </w:rPr>
        <w:t>ivalence des genres mineurs</w:t>
      </w:r>
    </w:p>
    <w:p w14:paraId="7E1C1135" w14:textId="77777777" w:rsidR="007408BC" w:rsidRPr="00E313D6" w:rsidRDefault="00000000">
      <w:pPr>
        <w:pStyle w:val="Footnote10"/>
        <w:ind w:firstLine="20"/>
        <w:jc w:val="both"/>
        <w:rPr>
          <w:lang w:val="fr-FR"/>
        </w:rPr>
      </w:pPr>
      <w:proofErr w:type="gramStart"/>
      <w:r w:rsidRPr="00E313D6">
        <w:rPr>
          <w:lang w:val="fr-FR"/>
        </w:rPr>
        <w:t>au</w:t>
      </w:r>
      <w:proofErr w:type="gramEnd"/>
      <w:r w:rsidRPr="00E313D6">
        <w:rPr>
          <w:lang w:val="fr-FR"/>
        </w:rPr>
        <w:t xml:space="preserve"> X</w:t>
      </w:r>
      <w:r w:rsidRPr="00E313D6">
        <w:rPr>
          <w:shd w:val="clear" w:color="auto" w:fill="80FFFF"/>
          <w:lang w:val="fr-FR"/>
        </w:rPr>
        <w:t>V</w:t>
      </w:r>
      <w:r w:rsidRPr="00E313D6">
        <w:rPr>
          <w:lang w:val="fr-FR"/>
        </w:rPr>
        <w:t>II</w:t>
      </w:r>
      <w:r w:rsidRPr="00E313D6">
        <w:rPr>
          <w:shd w:val="clear" w:color="auto" w:fill="80FFFF"/>
          <w:vertAlign w:val="superscript"/>
          <w:lang w:val="fr-FR"/>
        </w:rPr>
        <w:t>e</w:t>
      </w:r>
      <w:r w:rsidRPr="00E313D6">
        <w:rPr>
          <w:lang w:val="fr-FR"/>
        </w:rPr>
        <w:t xml:space="preserve"> siècle,” in </w:t>
      </w:r>
      <w:r w:rsidRPr="00E313D6">
        <w:rPr>
          <w:i/>
          <w:iCs/>
          <w:lang w:val="fr-FR"/>
        </w:rPr>
        <w:t>Subversion des hiérarchies et séduction des genres mineur</w:t>
      </w:r>
      <w:r w:rsidRPr="00E313D6">
        <w:rPr>
          <w:i/>
          <w:iCs/>
          <w:shd w:val="clear" w:color="auto" w:fill="80FFFF"/>
          <w:lang w:val="fr-FR"/>
        </w:rPr>
        <w:t>s</w:t>
      </w:r>
      <w:r w:rsidRPr="00E313D6">
        <w:rPr>
          <w:lang w:val="fr-FR"/>
        </w:rPr>
        <w:t>, ed. Cécile</w:t>
      </w:r>
      <w:r w:rsidRPr="00E313D6">
        <w:rPr>
          <w:lang w:val="fr-FR"/>
        </w:rPr>
        <w:br/>
        <w:t>Gauthier, Emmanuelle Hénin, and Virginie Leroux, Paris, Peeters, 2016, p. 76.</w:t>
      </w:r>
    </w:p>
  </w:footnote>
  <w:footnote w:id="6">
    <w:p w14:paraId="15CD1924" w14:textId="77777777" w:rsidR="007408BC" w:rsidRPr="00E313D6" w:rsidRDefault="00000000">
      <w:pPr>
        <w:pStyle w:val="Footnote10"/>
        <w:tabs>
          <w:tab w:val="left" w:pos="389"/>
        </w:tabs>
        <w:ind w:hanging="400"/>
        <w:jc w:val="both"/>
        <w:rPr>
          <w:lang w:val="fr-FR"/>
        </w:rPr>
      </w:pPr>
      <w:r>
        <w:footnoteRef/>
      </w:r>
      <w:r w:rsidRPr="00E313D6">
        <w:rPr>
          <w:lang w:val="fr-FR"/>
        </w:rPr>
        <w:tab/>
        <w:t>Thus, according to René Démoris, the Abbé Du Bos</w:t>
      </w:r>
      <w:r w:rsidRPr="00E313D6">
        <w:rPr>
          <w:shd w:val="clear" w:color="auto" w:fill="80FFFF"/>
          <w:lang w:val="fr-FR"/>
        </w:rPr>
        <w:t>’</w:t>
      </w:r>
      <w:r w:rsidRPr="00E313D6">
        <w:rPr>
          <w:lang w:val="fr-FR"/>
        </w:rPr>
        <w:t xml:space="preserve">s </w:t>
      </w:r>
      <w:r w:rsidRPr="00E313D6">
        <w:rPr>
          <w:i/>
          <w:iCs/>
          <w:lang w:val="fr-FR"/>
        </w:rPr>
        <w:t>Réflexions critiques sur la poésie et</w:t>
      </w:r>
      <w:r w:rsidRPr="00E313D6">
        <w:rPr>
          <w:i/>
          <w:iCs/>
          <w:lang w:val="fr-FR"/>
        </w:rPr>
        <w:br/>
        <w:t>sur la peinture</w:t>
      </w:r>
      <w:r w:rsidRPr="00E313D6">
        <w:rPr>
          <w:lang w:val="fr-FR"/>
        </w:rPr>
        <w:t xml:space="preserve"> (</w:t>
      </w:r>
      <w:r w:rsidRPr="00E313D6">
        <w:rPr>
          <w:shd w:val="clear" w:color="auto" w:fill="80FFFF"/>
          <w:lang w:val="fr-FR"/>
        </w:rPr>
        <w:t>1719</w:t>
      </w:r>
      <w:r w:rsidRPr="00E313D6">
        <w:rPr>
          <w:lang w:val="fr-FR"/>
        </w:rPr>
        <w:t>) goes further than any text to date in “la condemnation des genres</w:t>
      </w:r>
      <w:r w:rsidRPr="00E313D6">
        <w:rPr>
          <w:lang w:val="fr-FR"/>
        </w:rPr>
        <w:br/>
        <w:t xml:space="preserve">mineurs” (René Démoris, </w:t>
      </w:r>
      <w:proofErr w:type="gramStart"/>
      <w:r w:rsidRPr="00E313D6">
        <w:rPr>
          <w:i/>
          <w:iCs/>
          <w:lang w:val="fr-FR"/>
        </w:rPr>
        <w:t>Chardin:</w:t>
      </w:r>
      <w:proofErr w:type="gramEnd"/>
      <w:r w:rsidRPr="00E313D6">
        <w:rPr>
          <w:i/>
          <w:iCs/>
          <w:lang w:val="fr-FR"/>
        </w:rPr>
        <w:t xml:space="preserve"> La Chair et l’obj</w:t>
      </w:r>
      <w:r w:rsidRPr="00E313D6">
        <w:rPr>
          <w:i/>
          <w:iCs/>
          <w:shd w:val="clear" w:color="auto" w:fill="80FFFF"/>
          <w:lang w:val="fr-FR"/>
        </w:rPr>
        <w:t>e</w:t>
      </w:r>
      <w:r w:rsidRPr="00E313D6">
        <w:rPr>
          <w:i/>
          <w:iCs/>
          <w:lang w:val="fr-FR"/>
        </w:rPr>
        <w:t>t</w:t>
      </w:r>
      <w:r w:rsidRPr="00E313D6">
        <w:rPr>
          <w:i/>
          <w:iCs/>
          <w:shd w:val="clear" w:color="auto" w:fill="80FFFF"/>
          <w:lang w:val="fr-FR"/>
        </w:rPr>
        <w:t>,</w:t>
      </w:r>
      <w:r w:rsidRPr="00E313D6">
        <w:rPr>
          <w:lang w:val="fr-FR"/>
        </w:rPr>
        <w:t xml:space="preserve"> Paris, Olbia, 1999, p. 24).</w:t>
      </w:r>
    </w:p>
  </w:footnote>
  <w:footnote w:id="7">
    <w:p w14:paraId="784A295B" w14:textId="77777777" w:rsidR="007408BC" w:rsidRDefault="00000000">
      <w:pPr>
        <w:pStyle w:val="Footnote10"/>
        <w:tabs>
          <w:tab w:val="left" w:pos="403"/>
        </w:tabs>
        <w:ind w:hanging="400"/>
        <w:jc w:val="both"/>
      </w:pPr>
      <w:r>
        <w:footnoteRef/>
      </w:r>
      <w:r>
        <w:tab/>
        <w:t xml:space="preserve">Harriet Stone, </w:t>
      </w:r>
      <w:r>
        <w:rPr>
          <w:i/>
          <w:iCs/>
        </w:rPr>
        <w:t>Crowning Glories: Netherlandish Realism and the French Imagination</w:t>
      </w:r>
      <w:r>
        <w:rPr>
          <w:i/>
          <w:iCs/>
        </w:rPr>
        <w:br/>
        <w:t>during the Reign o</w:t>
      </w:r>
      <w:r>
        <w:rPr>
          <w:i/>
          <w:iCs/>
          <w:shd w:val="clear" w:color="auto" w:fill="80FFFF"/>
        </w:rPr>
        <w:t>fL</w:t>
      </w:r>
      <w:r>
        <w:rPr>
          <w:i/>
          <w:iCs/>
        </w:rPr>
        <w:t>ouis XIV</w:t>
      </w:r>
      <w:r>
        <w:rPr>
          <w:i/>
          <w:iCs/>
          <w:shd w:val="clear" w:color="auto" w:fill="80FFFF"/>
        </w:rPr>
        <w:t>,</w:t>
      </w:r>
      <w:r>
        <w:t xml:space="preserve"> Toronto, University of</w:t>
      </w:r>
      <w:r>
        <w:rPr>
          <w:shd w:val="clear" w:color="auto" w:fill="80FFFF"/>
        </w:rPr>
        <w:t xml:space="preserve"> </w:t>
      </w:r>
      <w:r>
        <w:t>Toronto Press, 20</w:t>
      </w:r>
      <w:r>
        <w:rPr>
          <w:shd w:val="clear" w:color="auto" w:fill="80FFFF"/>
        </w:rPr>
        <w:t>19</w:t>
      </w:r>
      <w:r>
        <w:t>, p. 219 and</w:t>
      </w:r>
      <w:r>
        <w:br/>
        <w:t>210.</w:t>
      </w:r>
    </w:p>
  </w:footnote>
  <w:footnote w:id="8">
    <w:p w14:paraId="50217980" w14:textId="77777777" w:rsidR="007408BC" w:rsidRDefault="00000000">
      <w:pPr>
        <w:pStyle w:val="Footnote10"/>
        <w:tabs>
          <w:tab w:val="left" w:pos="398"/>
        </w:tabs>
        <w:ind w:hanging="400"/>
      </w:pPr>
      <w:r>
        <w:footnoteRef/>
      </w:r>
      <w:r>
        <w:tab/>
        <w:t xml:space="preserve">Roland Mortier, </w:t>
      </w:r>
      <w:r>
        <w:rPr>
          <w:i/>
          <w:iCs/>
        </w:rPr>
        <w:t xml:space="preserve">Diderot and the </w:t>
      </w:r>
      <w:r>
        <w:rPr>
          <w:i/>
          <w:iCs/>
          <w:shd w:val="clear" w:color="auto" w:fill="80FFFF"/>
        </w:rPr>
        <w:t>“G</w:t>
      </w:r>
      <w:r>
        <w:rPr>
          <w:i/>
          <w:iCs/>
        </w:rPr>
        <w:t>rand Goût”: The Prestige of History Painting in the</w:t>
      </w:r>
      <w:r>
        <w:rPr>
          <w:i/>
          <w:iCs/>
        </w:rPr>
        <w:br/>
        <w:t>Eighteenth Centur</w:t>
      </w:r>
      <w:r>
        <w:rPr>
          <w:i/>
          <w:iCs/>
          <w:shd w:val="clear" w:color="auto" w:fill="80FFFF"/>
        </w:rPr>
        <w:t>y</w:t>
      </w:r>
      <w:r>
        <w:t xml:space="preserve">, Oxford, Clarendon Press, </w:t>
      </w:r>
      <w:r>
        <w:rPr>
          <w:shd w:val="clear" w:color="auto" w:fill="80FFFF"/>
        </w:rPr>
        <w:t>19</w:t>
      </w:r>
      <w:r>
        <w:t>82.</w:t>
      </w:r>
    </w:p>
  </w:footnote>
  <w:footnote w:id="9">
    <w:p w14:paraId="2F3EFDA4" w14:textId="77777777" w:rsidR="007408BC" w:rsidRPr="00E313D6" w:rsidRDefault="00000000">
      <w:pPr>
        <w:pStyle w:val="Footnote10"/>
        <w:tabs>
          <w:tab w:val="left" w:pos="394"/>
        </w:tabs>
        <w:ind w:hanging="400"/>
        <w:jc w:val="both"/>
        <w:rPr>
          <w:lang w:val="fr-FR"/>
        </w:rPr>
      </w:pPr>
      <w:r>
        <w:footnoteRef/>
      </w:r>
      <w:r w:rsidRPr="00E313D6">
        <w:rPr>
          <w:lang w:val="fr-FR"/>
        </w:rPr>
        <w:tab/>
        <w:t xml:space="preserve">Régis Michel, “Diderot et la modernité”, in </w:t>
      </w:r>
      <w:r w:rsidRPr="00E313D6">
        <w:rPr>
          <w:i/>
          <w:iCs/>
          <w:lang w:val="fr-FR"/>
        </w:rPr>
        <w:t xml:space="preserve">Diderot et l’art de Boucher </w:t>
      </w:r>
      <w:r w:rsidRPr="00E313D6">
        <w:rPr>
          <w:i/>
          <w:iCs/>
          <w:shd w:val="clear" w:color="auto" w:fill="80FFFF"/>
          <w:lang w:val="fr-FR"/>
        </w:rPr>
        <w:t>à</w:t>
      </w:r>
      <w:r w:rsidRPr="00E313D6">
        <w:rPr>
          <w:i/>
          <w:iCs/>
          <w:lang w:val="fr-FR"/>
        </w:rPr>
        <w:t xml:space="preserve"> </w:t>
      </w:r>
      <w:proofErr w:type="gramStart"/>
      <w:r w:rsidRPr="00E313D6">
        <w:rPr>
          <w:i/>
          <w:iCs/>
          <w:lang w:val="fr-FR"/>
        </w:rPr>
        <w:t>David:</w:t>
      </w:r>
      <w:proofErr w:type="gramEnd"/>
      <w:r w:rsidRPr="00E313D6">
        <w:rPr>
          <w:i/>
          <w:iCs/>
          <w:lang w:val="fr-FR"/>
        </w:rPr>
        <w:t xml:space="preserve"> Les</w:t>
      </w:r>
      <w:r w:rsidRPr="00E313D6">
        <w:rPr>
          <w:i/>
          <w:iCs/>
          <w:lang w:val="fr-FR"/>
        </w:rPr>
        <w:br/>
        <w:t>Salons 1759'17</w:t>
      </w:r>
      <w:r w:rsidRPr="00E313D6">
        <w:rPr>
          <w:i/>
          <w:iCs/>
          <w:shd w:val="clear" w:color="auto" w:fill="80FFFF"/>
          <w:lang w:val="fr-FR"/>
        </w:rPr>
        <w:t>81</w:t>
      </w:r>
      <w:r w:rsidRPr="00E313D6">
        <w:rPr>
          <w:lang w:val="fr-FR"/>
        </w:rPr>
        <w:t xml:space="preserve">, Paris: Réunion des Musées nationaux, </w:t>
      </w:r>
      <w:r w:rsidRPr="00E313D6">
        <w:rPr>
          <w:shd w:val="clear" w:color="auto" w:fill="80FFFF"/>
          <w:lang w:val="fr-FR"/>
        </w:rPr>
        <w:t>19</w:t>
      </w:r>
      <w:r w:rsidRPr="00E313D6">
        <w:rPr>
          <w:lang w:val="fr-FR"/>
        </w:rPr>
        <w:t xml:space="preserve">85, p. </w:t>
      </w:r>
      <w:r w:rsidRPr="00E313D6">
        <w:rPr>
          <w:shd w:val="clear" w:color="auto" w:fill="80FFFF"/>
          <w:lang w:val="fr-FR"/>
        </w:rPr>
        <w:t>110</w:t>
      </w:r>
      <w:r w:rsidRPr="00E313D6">
        <w:rPr>
          <w:lang w:val="fr-FR"/>
        </w:rPr>
        <w:t>.</w:t>
      </w:r>
    </w:p>
  </w:footnote>
  <w:footnote w:id="10">
    <w:p w14:paraId="1E9543C3" w14:textId="77777777" w:rsidR="007408BC" w:rsidRPr="00E313D6" w:rsidRDefault="00000000">
      <w:pPr>
        <w:pStyle w:val="Footnote10"/>
        <w:tabs>
          <w:tab w:val="left" w:pos="384"/>
        </w:tabs>
        <w:spacing w:line="257" w:lineRule="auto"/>
        <w:ind w:hanging="400"/>
        <w:jc w:val="both"/>
        <w:rPr>
          <w:lang w:val="fr-FR"/>
        </w:rPr>
      </w:pPr>
      <w:r>
        <w:rPr>
          <w:shd w:val="clear" w:color="auto" w:fill="80FFFF"/>
        </w:rPr>
        <w:footnoteRef/>
      </w:r>
      <w:r>
        <w:tab/>
        <w:t xml:space="preserve">Christopher Braider, art. cit., p. </w:t>
      </w:r>
      <w:r>
        <w:rPr>
          <w:shd w:val="clear" w:color="auto" w:fill="80FFFF"/>
        </w:rPr>
        <w:t>11</w:t>
      </w:r>
      <w:r>
        <w:t xml:space="preserve">0. </w:t>
      </w:r>
      <w:r w:rsidRPr="00E313D6">
        <w:rPr>
          <w:lang w:val="fr-FR"/>
        </w:rPr>
        <w:t>Similarly, Katalin Kov</w:t>
      </w:r>
      <w:r w:rsidRPr="00E313D6">
        <w:rPr>
          <w:shd w:val="clear" w:color="auto" w:fill="80FFFF"/>
          <w:lang w:val="fr-FR"/>
        </w:rPr>
        <w:t>a</w:t>
      </w:r>
      <w:r w:rsidRPr="00E313D6">
        <w:rPr>
          <w:lang w:val="fr-FR"/>
        </w:rPr>
        <w:t>cs concludes that</w:t>
      </w:r>
      <w:r w:rsidRPr="00E313D6">
        <w:rPr>
          <w:lang w:val="fr-FR"/>
        </w:rPr>
        <w:br/>
        <w:t xml:space="preserve">Diderot </w:t>
      </w:r>
      <w:r w:rsidRPr="00E313D6">
        <w:rPr>
          <w:shd w:val="clear" w:color="auto" w:fill="80FFFF"/>
          <w:lang w:val="fr-FR"/>
        </w:rPr>
        <w:t>“</w:t>
      </w:r>
      <w:r w:rsidRPr="00E313D6">
        <w:rPr>
          <w:lang w:val="fr-FR"/>
        </w:rPr>
        <w:t xml:space="preserve">recule au moment où </w:t>
      </w:r>
      <w:r w:rsidRPr="00E313D6">
        <w:rPr>
          <w:shd w:val="clear" w:color="auto" w:fill="80FFFF"/>
          <w:lang w:val="fr-FR"/>
        </w:rPr>
        <w:t>l</w:t>
      </w:r>
      <w:r w:rsidRPr="00E313D6">
        <w:rPr>
          <w:lang w:val="fr-FR"/>
        </w:rPr>
        <w:t xml:space="preserve">’on s’attendrait justement </w:t>
      </w:r>
      <w:proofErr w:type="gramStart"/>
      <w:r w:rsidRPr="00E313D6">
        <w:rPr>
          <w:lang w:val="fr-FR"/>
        </w:rPr>
        <w:t>a</w:t>
      </w:r>
      <w:proofErr w:type="gramEnd"/>
      <w:r w:rsidRPr="00E313D6">
        <w:rPr>
          <w:lang w:val="fr-FR"/>
        </w:rPr>
        <w:t xml:space="preserve"> une énonciation allant</w:t>
      </w:r>
      <w:r w:rsidRPr="00E313D6">
        <w:rPr>
          <w:lang w:val="fr-FR"/>
        </w:rPr>
        <w:br/>
        <w:t>au</w:t>
      </w:r>
      <w:r w:rsidRPr="00E313D6">
        <w:rPr>
          <w:shd w:val="clear" w:color="auto" w:fill="80FFFF"/>
          <w:lang w:val="fr-FR"/>
        </w:rPr>
        <w:t>-</w:t>
      </w:r>
      <w:r w:rsidRPr="00E313D6">
        <w:rPr>
          <w:lang w:val="fr-FR"/>
        </w:rPr>
        <w:t>del</w:t>
      </w:r>
      <w:r w:rsidRPr="00E313D6">
        <w:rPr>
          <w:shd w:val="clear" w:color="auto" w:fill="80FFFF"/>
          <w:lang w:val="fr-FR"/>
        </w:rPr>
        <w:t>à</w:t>
      </w:r>
      <w:r w:rsidRPr="00E313D6">
        <w:rPr>
          <w:lang w:val="fr-FR"/>
        </w:rPr>
        <w:t xml:space="preserve"> d’une hiérarchie traditionnelle des genres” (Katalin Kov</w:t>
      </w:r>
      <w:r w:rsidRPr="00E313D6">
        <w:rPr>
          <w:shd w:val="clear" w:color="auto" w:fill="80FFFF"/>
          <w:lang w:val="fr-FR"/>
        </w:rPr>
        <w:t>â</w:t>
      </w:r>
      <w:r w:rsidRPr="00E313D6">
        <w:rPr>
          <w:lang w:val="fr-FR"/>
        </w:rPr>
        <w:t>cs, “La couleur et</w:t>
      </w:r>
      <w:r w:rsidRPr="00E313D6">
        <w:rPr>
          <w:lang w:val="fr-FR"/>
        </w:rPr>
        <w:br/>
        <w:t xml:space="preserve">le sentiment de la chair dans les premiers </w:t>
      </w:r>
      <w:r w:rsidRPr="00E313D6">
        <w:rPr>
          <w:shd w:val="clear" w:color="auto" w:fill="80FFFF"/>
          <w:lang w:val="fr-FR"/>
        </w:rPr>
        <w:t>‘</w:t>
      </w:r>
      <w:r w:rsidRPr="00E313D6">
        <w:rPr>
          <w:lang w:val="fr-FR"/>
        </w:rPr>
        <w:t xml:space="preserve">Salons’ de Diderot”, </w:t>
      </w:r>
      <w:r w:rsidRPr="00E313D6">
        <w:rPr>
          <w:i/>
          <w:iCs/>
          <w:lang w:val="fr-FR"/>
        </w:rPr>
        <w:t>Diderot Studies</w:t>
      </w:r>
      <w:r w:rsidRPr="00E313D6">
        <w:rPr>
          <w:lang w:val="fr-FR"/>
        </w:rPr>
        <w:t xml:space="preserve"> 30</w:t>
      </w:r>
      <w:r w:rsidRPr="00E313D6">
        <w:rPr>
          <w:lang w:val="fr-FR"/>
        </w:rPr>
        <w:br/>
        <w:t>[2007], p. 141).</w:t>
      </w:r>
    </w:p>
  </w:footnote>
  <w:footnote w:id="11">
    <w:p w14:paraId="5F5558BE" w14:textId="77777777" w:rsidR="007408BC" w:rsidRDefault="00000000">
      <w:pPr>
        <w:pStyle w:val="Footnote10"/>
        <w:tabs>
          <w:tab w:val="left" w:pos="379"/>
        </w:tabs>
        <w:spacing w:line="252" w:lineRule="auto"/>
        <w:ind w:left="380" w:hanging="380"/>
        <w:jc w:val="both"/>
      </w:pPr>
      <w:r>
        <w:rPr>
          <w:shd w:val="clear" w:color="auto" w:fill="80FFFF"/>
        </w:rPr>
        <w:footnoteRef/>
      </w:r>
      <w:r>
        <w:tab/>
        <w:t xml:space="preserve">Significantly if surprisingly, Michel Fried, </w:t>
      </w:r>
      <w:r>
        <w:rPr>
          <w:i/>
          <w:iCs/>
        </w:rPr>
        <w:t>o</w:t>
      </w:r>
      <w:r>
        <w:rPr>
          <w:i/>
          <w:iCs/>
          <w:shd w:val="clear" w:color="auto" w:fill="80FFFF"/>
        </w:rPr>
        <w:t>p</w:t>
      </w:r>
      <w:r>
        <w:rPr>
          <w:i/>
          <w:iCs/>
        </w:rPr>
        <w:t xml:space="preserve">. </w:t>
      </w:r>
      <w:proofErr w:type="gramStart"/>
      <w:r>
        <w:rPr>
          <w:i/>
          <w:iCs/>
        </w:rPr>
        <w:t>cit.</w:t>
      </w:r>
      <w:r>
        <w:rPr>
          <w:i/>
          <w:iCs/>
          <w:shd w:val="clear" w:color="auto" w:fill="80FFFF"/>
          <w:vertAlign w:val="subscript"/>
        </w:rPr>
        <w:t>y</w:t>
      </w:r>
      <w:proofErr w:type="gramEnd"/>
      <w:r>
        <w:t xml:space="preserve"> is interested in a Chardin that</w:t>
      </w:r>
      <w:r>
        <w:br/>
        <w:t>Diderot never comments on—the painter of “genre scenes” featuring absorbed</w:t>
      </w:r>
      <w:r>
        <w:br/>
        <w:t>humans. In the rest of this article, I will set aside Fried’s classic study, focused as it</w:t>
      </w:r>
      <w:r>
        <w:br/>
        <w:t>is not on the problem of generic hierarchy frequently raised by critics, but on the</w:t>
      </w:r>
      <w:r>
        <w:br/>
        <w:t>supposed invention of a new relationship between painting and beholder. Despite its</w:t>
      </w:r>
      <w:r>
        <w:br/>
        <w:t>distinctiveness, in my view Fried’s modernity narrative is no less compromised than</w:t>
      </w:r>
      <w:r>
        <w:br/>
        <w:t>those I will be dealing with here.</w:t>
      </w:r>
    </w:p>
  </w:footnote>
  <w:footnote w:id="12">
    <w:p w14:paraId="683A671C" w14:textId="77777777" w:rsidR="007408BC" w:rsidRPr="00E313D6" w:rsidRDefault="00000000">
      <w:pPr>
        <w:pStyle w:val="Footnote10"/>
        <w:tabs>
          <w:tab w:val="left" w:pos="389"/>
        </w:tabs>
        <w:spacing w:line="259" w:lineRule="auto"/>
        <w:ind w:left="420" w:hanging="420"/>
        <w:rPr>
          <w:lang w:val="fr-FR"/>
        </w:rPr>
      </w:pPr>
      <w:r>
        <w:rPr>
          <w:shd w:val="clear" w:color="auto" w:fill="FFFFFF"/>
        </w:rPr>
        <w:footnoteRef/>
      </w:r>
      <w:r w:rsidRPr="00E313D6">
        <w:rPr>
          <w:lang w:val="fr-FR"/>
        </w:rPr>
        <w:tab/>
      </w:r>
      <w:r w:rsidRPr="00E313D6">
        <w:rPr>
          <w:shd w:val="clear" w:color="auto" w:fill="80FFFF"/>
          <w:lang w:val="fr-FR"/>
        </w:rPr>
        <w:t>“</w:t>
      </w:r>
      <w:r w:rsidRPr="00E313D6">
        <w:rPr>
          <w:lang w:val="fr-FR"/>
        </w:rPr>
        <w:t>La nature morte semble prendre pour acte fondateur le rejet du discours” (Philippe</w:t>
      </w:r>
      <w:r w:rsidRPr="00E313D6">
        <w:rPr>
          <w:lang w:val="fr-FR"/>
        </w:rPr>
        <w:br/>
        <w:t xml:space="preserve">Déan, </w:t>
      </w:r>
      <w:r w:rsidRPr="00E313D6">
        <w:rPr>
          <w:i/>
          <w:iCs/>
          <w:lang w:val="fr-FR"/>
        </w:rPr>
        <w:t xml:space="preserve">Diderot devant </w:t>
      </w:r>
      <w:r w:rsidRPr="00E313D6">
        <w:rPr>
          <w:i/>
          <w:iCs/>
          <w:shd w:val="clear" w:color="auto" w:fill="80FFFF"/>
          <w:lang w:val="fr-FR"/>
        </w:rPr>
        <w:t>1''</w:t>
      </w:r>
      <w:r w:rsidRPr="00E313D6">
        <w:rPr>
          <w:i/>
          <w:iCs/>
          <w:lang w:val="fr-FR"/>
        </w:rPr>
        <w:t>imag</w:t>
      </w:r>
      <w:r w:rsidRPr="00E313D6">
        <w:rPr>
          <w:i/>
          <w:iCs/>
          <w:shd w:val="clear" w:color="auto" w:fill="80FFFF"/>
          <w:lang w:val="fr-FR"/>
        </w:rPr>
        <w:t>e</w:t>
      </w:r>
      <w:r w:rsidRPr="00E313D6">
        <w:rPr>
          <w:lang w:val="fr-FR"/>
        </w:rPr>
        <w:t>, Paris, L’Harmattan, 2000, p. 87).</w:t>
      </w:r>
    </w:p>
  </w:footnote>
  <w:footnote w:id="13">
    <w:p w14:paraId="23928134" w14:textId="77777777" w:rsidR="007408BC" w:rsidRDefault="00000000">
      <w:pPr>
        <w:pStyle w:val="Footnote10"/>
        <w:tabs>
          <w:tab w:val="left" w:pos="384"/>
        </w:tabs>
        <w:ind w:left="0" w:firstLine="0"/>
        <w:jc w:val="both"/>
      </w:pPr>
      <w:r>
        <w:rPr>
          <w:shd w:val="clear" w:color="auto" w:fill="80FFFF"/>
        </w:rPr>
        <w:footnoteRef/>
      </w:r>
      <w:r>
        <w:tab/>
      </w:r>
      <w:r>
        <w:rPr>
          <w:shd w:val="clear" w:color="auto" w:fill="80FFFF"/>
        </w:rPr>
        <w:t>“</w:t>
      </w:r>
      <w:r>
        <w:t xml:space="preserve">Diderot and the Image”, in Norman Bryson, </w:t>
      </w:r>
      <w:r>
        <w:rPr>
          <w:i/>
          <w:iCs/>
        </w:rPr>
        <w:t>Word an</w:t>
      </w:r>
      <w:r>
        <w:rPr>
          <w:i/>
          <w:iCs/>
          <w:shd w:val="clear" w:color="auto" w:fill="80FFFF"/>
        </w:rPr>
        <w:t>d</w:t>
      </w:r>
      <w:r>
        <w:rPr>
          <w:i/>
          <w:iCs/>
        </w:rPr>
        <w:t xml:space="preserve"> Image: French Painting of the</w:t>
      </w:r>
    </w:p>
    <w:p w14:paraId="46736E2C" w14:textId="77777777" w:rsidR="007408BC" w:rsidRDefault="00000000">
      <w:pPr>
        <w:pStyle w:val="Footnote10"/>
        <w:ind w:left="0" w:firstLine="400"/>
        <w:jc w:val="both"/>
      </w:pPr>
      <w:r>
        <w:rPr>
          <w:i/>
          <w:iCs/>
        </w:rPr>
        <w:t>Ancien Régim</w:t>
      </w:r>
      <w:r>
        <w:rPr>
          <w:i/>
          <w:iCs/>
          <w:shd w:val="clear" w:color="auto" w:fill="80FFFF"/>
        </w:rPr>
        <w:t>e</w:t>
      </w:r>
      <w:r>
        <w:rPr>
          <w:i/>
          <w:iCs/>
          <w:shd w:val="clear" w:color="auto" w:fill="80FFFF"/>
          <w:vertAlign w:val="subscript"/>
        </w:rPr>
        <w:t>y</w:t>
      </w:r>
      <w:r>
        <w:t xml:space="preserve"> Cambridge, Cambridge University Press, </w:t>
      </w:r>
      <w:r>
        <w:rPr>
          <w:shd w:val="clear" w:color="auto" w:fill="80FFFF"/>
        </w:rPr>
        <w:t>19</w:t>
      </w:r>
      <w:r>
        <w:t>81, p. 179-203.</w:t>
      </w:r>
    </w:p>
  </w:footnote>
  <w:footnote w:id="14">
    <w:p w14:paraId="5556765C" w14:textId="77777777" w:rsidR="007408BC" w:rsidRDefault="00000000">
      <w:pPr>
        <w:pStyle w:val="Footnote10"/>
        <w:tabs>
          <w:tab w:val="left" w:pos="374"/>
        </w:tabs>
        <w:ind w:left="0" w:firstLine="0"/>
        <w:jc w:val="both"/>
      </w:pPr>
      <w:r>
        <w:footnoteRef/>
      </w:r>
      <w:r>
        <w:tab/>
        <w:t xml:space="preserve">Norman Bryson, </w:t>
      </w:r>
      <w:r>
        <w:rPr>
          <w:i/>
          <w:iCs/>
        </w:rPr>
        <w:t>op</w:t>
      </w:r>
      <w:r>
        <w:rPr>
          <w:i/>
          <w:iCs/>
          <w:shd w:val="clear" w:color="auto" w:fill="80FFFF"/>
        </w:rPr>
        <w:t>.</w:t>
      </w:r>
      <w:r>
        <w:rPr>
          <w:i/>
          <w:iCs/>
        </w:rPr>
        <w:t xml:space="preserve"> ci</w:t>
      </w:r>
      <w:r>
        <w:rPr>
          <w:i/>
          <w:iCs/>
          <w:shd w:val="clear" w:color="auto" w:fill="80FFFF"/>
        </w:rPr>
        <w:t>t</w:t>
      </w:r>
      <w:r>
        <w:rPr>
          <w:i/>
          <w:iCs/>
        </w:rPr>
        <w:t>.,</w:t>
      </w:r>
      <w:r>
        <w:t xml:space="preserve"> p. </w:t>
      </w:r>
      <w:r>
        <w:rPr>
          <w:shd w:val="clear" w:color="auto" w:fill="80FFFF"/>
        </w:rPr>
        <w:t>18</w:t>
      </w:r>
      <w:r>
        <w:t>9 and 194.</w:t>
      </w:r>
    </w:p>
  </w:footnote>
  <w:footnote w:id="15">
    <w:p w14:paraId="7107823B" w14:textId="77777777" w:rsidR="007408BC" w:rsidRDefault="00000000">
      <w:pPr>
        <w:pStyle w:val="Footnote10"/>
        <w:tabs>
          <w:tab w:val="left" w:pos="374"/>
        </w:tabs>
        <w:ind w:left="0" w:firstLine="0"/>
      </w:pPr>
      <w:r>
        <w:footnoteRef/>
      </w:r>
      <w:r>
        <w:tab/>
        <w:t xml:space="preserve">Norman Bryson, </w:t>
      </w:r>
      <w:r>
        <w:rPr>
          <w:i/>
          <w:iCs/>
        </w:rPr>
        <w:t>ibid</w:t>
      </w:r>
      <w:r>
        <w:rPr>
          <w:i/>
          <w:iCs/>
          <w:shd w:val="clear" w:color="auto" w:fill="80FFFF"/>
        </w:rPr>
        <w:t>.,</w:t>
      </w:r>
      <w:r>
        <w:t xml:space="preserve"> p. </w:t>
      </w:r>
      <w:r>
        <w:rPr>
          <w:shd w:val="clear" w:color="auto" w:fill="80FFFF"/>
        </w:rPr>
        <w:t>19</w:t>
      </w:r>
      <w:r>
        <w:t xml:space="preserve">0 and </w:t>
      </w:r>
      <w:r>
        <w:rPr>
          <w:shd w:val="clear" w:color="auto" w:fill="80FFFF"/>
        </w:rPr>
        <w:t>18</w:t>
      </w:r>
      <w:r>
        <w:t>9.</w:t>
      </w:r>
    </w:p>
  </w:footnote>
  <w:footnote w:id="16">
    <w:p w14:paraId="481C1755" w14:textId="77777777" w:rsidR="007408BC" w:rsidRDefault="00000000">
      <w:pPr>
        <w:pStyle w:val="Footnote10"/>
        <w:tabs>
          <w:tab w:val="left" w:pos="374"/>
        </w:tabs>
        <w:ind w:left="0" w:firstLine="0"/>
      </w:pPr>
      <w:r>
        <w:footnoteRef/>
      </w:r>
      <w:r>
        <w:tab/>
        <w:t xml:space="preserve">Norman Bryson, </w:t>
      </w:r>
      <w:r>
        <w:rPr>
          <w:i/>
          <w:iCs/>
        </w:rPr>
        <w:t>ibid.</w:t>
      </w:r>
      <w:r>
        <w:rPr>
          <w:i/>
          <w:iCs/>
          <w:shd w:val="clear" w:color="auto" w:fill="80FFFF"/>
        </w:rPr>
        <w:t>,</w:t>
      </w:r>
      <w:r>
        <w:t xml:space="preserve"> p. </w:t>
      </w:r>
      <w:r>
        <w:rPr>
          <w:shd w:val="clear" w:color="auto" w:fill="80FFFF"/>
        </w:rPr>
        <w:t>19</w:t>
      </w:r>
      <w:r>
        <w:t>2.</w:t>
      </w:r>
    </w:p>
  </w:footnote>
  <w:footnote w:id="17">
    <w:p w14:paraId="78B7E221" w14:textId="77777777" w:rsidR="007408BC" w:rsidRDefault="00000000">
      <w:pPr>
        <w:pStyle w:val="Footnote10"/>
        <w:tabs>
          <w:tab w:val="left" w:pos="374"/>
        </w:tabs>
        <w:ind w:left="0" w:firstLine="0"/>
      </w:pPr>
      <w:r>
        <w:footnoteRef/>
      </w:r>
      <w:r>
        <w:tab/>
        <w:t xml:space="preserve">Norman Bryson, </w:t>
      </w:r>
      <w:r>
        <w:rPr>
          <w:i/>
          <w:iCs/>
        </w:rPr>
        <w:t>ibid.</w:t>
      </w:r>
      <w:r>
        <w:rPr>
          <w:i/>
          <w:iCs/>
          <w:shd w:val="clear" w:color="auto" w:fill="80FFFF"/>
        </w:rPr>
        <w:t>,</w:t>
      </w:r>
      <w:r>
        <w:t xml:space="preserve"> p. </w:t>
      </w:r>
      <w:r>
        <w:rPr>
          <w:shd w:val="clear" w:color="auto" w:fill="80FFFF"/>
        </w:rPr>
        <w:t>19</w:t>
      </w:r>
      <w:r>
        <w:t>3.</w:t>
      </w:r>
    </w:p>
  </w:footnote>
  <w:footnote w:id="18">
    <w:p w14:paraId="416B0C6A" w14:textId="77777777" w:rsidR="007408BC" w:rsidRDefault="00000000">
      <w:pPr>
        <w:pStyle w:val="Footnote10"/>
        <w:tabs>
          <w:tab w:val="left" w:pos="370"/>
        </w:tabs>
        <w:ind w:left="0" w:firstLine="0"/>
      </w:pPr>
      <w:r>
        <w:footnoteRef/>
      </w:r>
      <w:r>
        <w:tab/>
        <w:t xml:space="preserve">Norman Bryson, </w:t>
      </w:r>
      <w:r>
        <w:rPr>
          <w:i/>
          <w:iCs/>
        </w:rPr>
        <w:t>ibid.,</w:t>
      </w:r>
      <w:r>
        <w:t xml:space="preserve"> p. </w:t>
      </w:r>
      <w:r>
        <w:rPr>
          <w:shd w:val="clear" w:color="auto" w:fill="80FFFF"/>
        </w:rPr>
        <w:t>19</w:t>
      </w:r>
      <w:r>
        <w:t xml:space="preserve">3 and </w:t>
      </w:r>
      <w:r>
        <w:rPr>
          <w:shd w:val="clear" w:color="auto" w:fill="80FFFF"/>
        </w:rPr>
        <w:t>19</w:t>
      </w:r>
      <w:r>
        <w:t>4.</w:t>
      </w:r>
    </w:p>
  </w:footnote>
  <w:footnote w:id="19">
    <w:p w14:paraId="42C8253C" w14:textId="77777777" w:rsidR="007408BC" w:rsidRDefault="00000000">
      <w:pPr>
        <w:pStyle w:val="Footnote10"/>
        <w:tabs>
          <w:tab w:val="left" w:pos="384"/>
        </w:tabs>
        <w:ind w:hanging="400"/>
        <w:jc w:val="both"/>
      </w:pPr>
      <w:r>
        <w:footnoteRef/>
      </w:r>
      <w:r>
        <w:tab/>
        <w:t>Danie</w:t>
      </w:r>
      <w:r>
        <w:rPr>
          <w:shd w:val="clear" w:color="auto" w:fill="80FFFF"/>
        </w:rPr>
        <w:t>l</w:t>
      </w:r>
      <w:r>
        <w:t xml:space="preserve"> Brewer, “Critical Narratives: Diderots </w:t>
      </w:r>
      <w:r>
        <w:rPr>
          <w:i/>
          <w:iCs/>
        </w:rPr>
        <w:t>Salon</w:t>
      </w:r>
      <w:r>
        <w:rPr>
          <w:i/>
          <w:iCs/>
          <w:shd w:val="clear" w:color="auto" w:fill="80FFFF"/>
        </w:rPr>
        <w:t>s</w:t>
      </w:r>
      <w:r>
        <w:t xml:space="preserve">in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Discourse of Enlighten</w:t>
      </w:r>
      <w:r>
        <w:rPr>
          <w:i/>
          <w:iCs/>
          <w:shd w:val="clear" w:color="auto" w:fill="80FFFF"/>
        </w:rPr>
        <w:t>-</w:t>
      </w:r>
      <w:r>
        <w:rPr>
          <w:i/>
          <w:iCs/>
          <w:shd w:val="clear" w:color="auto" w:fill="80FFFF"/>
        </w:rPr>
        <w:br/>
      </w:r>
      <w:r>
        <w:rPr>
          <w:i/>
          <w:iCs/>
        </w:rPr>
        <w:t>ment in Eight</w:t>
      </w:r>
      <w:r>
        <w:rPr>
          <w:i/>
          <w:iCs/>
          <w:shd w:val="clear" w:color="auto" w:fill="80FFFF"/>
        </w:rPr>
        <w:t>e</w:t>
      </w:r>
      <w:r>
        <w:rPr>
          <w:i/>
          <w:iCs/>
        </w:rPr>
        <w:t>enth-Century France: Diderot and the Art of Philosophizing</w:t>
      </w:r>
      <w:r>
        <w:rPr>
          <w:i/>
          <w:iCs/>
          <w:shd w:val="clear" w:color="auto" w:fill="80FFFF"/>
        </w:rPr>
        <w:t>,</w:t>
      </w:r>
      <w:r>
        <w:t xml:space="preserve"> Cambridge,</w:t>
      </w:r>
      <w:r>
        <w:br/>
        <w:t>Cambridge University Press, 1993, p. 132-67.</w:t>
      </w:r>
    </w:p>
  </w:footnote>
  <w:footnote w:id="20">
    <w:p w14:paraId="134949C3" w14:textId="77777777" w:rsidR="007408BC" w:rsidRDefault="00000000">
      <w:pPr>
        <w:pStyle w:val="Footnote10"/>
        <w:tabs>
          <w:tab w:val="left" w:pos="408"/>
        </w:tabs>
        <w:spacing w:line="240" w:lineRule="auto"/>
        <w:ind w:left="0" w:firstLine="0"/>
      </w:pPr>
      <w:r>
        <w:footnoteRef/>
      </w:r>
      <w:r>
        <w:tab/>
        <w:t xml:space="preserve">Daniel Brewer, </w:t>
      </w:r>
      <w:r>
        <w:rPr>
          <w:i/>
          <w:iCs/>
        </w:rPr>
        <w:t>ibid</w:t>
      </w:r>
      <w:r>
        <w:rPr>
          <w:i/>
          <w:iCs/>
          <w:shd w:val="clear" w:color="auto" w:fill="80FFFF"/>
        </w:rPr>
        <w:t>.,</w:t>
      </w:r>
      <w:r>
        <w:t xml:space="preserve"> p. 144.</w:t>
      </w:r>
    </w:p>
  </w:footnote>
  <w:footnote w:id="21">
    <w:p w14:paraId="7D9F84F2" w14:textId="77777777" w:rsidR="007408BC" w:rsidRDefault="00000000">
      <w:pPr>
        <w:pStyle w:val="Footnote10"/>
        <w:tabs>
          <w:tab w:val="left" w:pos="408"/>
        </w:tabs>
        <w:spacing w:line="240" w:lineRule="auto"/>
        <w:ind w:left="0" w:firstLine="0"/>
      </w:pPr>
      <w:r>
        <w:footnoteRef/>
      </w:r>
      <w:r>
        <w:tab/>
        <w:t xml:space="preserve">Daniel Brewer, </w:t>
      </w:r>
      <w:r>
        <w:rPr>
          <w:i/>
          <w:iCs/>
        </w:rPr>
        <w:t>ibid</w:t>
      </w:r>
      <w:r>
        <w:rPr>
          <w:i/>
          <w:iCs/>
          <w:shd w:val="clear" w:color="auto" w:fill="80FFFF"/>
        </w:rPr>
        <w:t>.,</w:t>
      </w:r>
      <w:r>
        <w:t xml:space="preserve"> p. 144, </w:t>
      </w:r>
      <w:r>
        <w:rPr>
          <w:shd w:val="clear" w:color="auto" w:fill="80FFFF"/>
        </w:rPr>
        <w:t>15</w:t>
      </w:r>
      <w:r>
        <w:t>7, 158.</w:t>
      </w:r>
    </w:p>
  </w:footnote>
  <w:footnote w:id="22">
    <w:p w14:paraId="6BBC2036" w14:textId="77777777" w:rsidR="007408BC" w:rsidRDefault="00000000">
      <w:pPr>
        <w:pStyle w:val="Footnote10"/>
        <w:tabs>
          <w:tab w:val="left" w:pos="403"/>
        </w:tabs>
        <w:spacing w:line="240" w:lineRule="auto"/>
        <w:ind w:left="0" w:firstLine="0"/>
      </w:pPr>
      <w:r>
        <w:footnoteRef/>
      </w:r>
      <w:r>
        <w:tab/>
        <w:t xml:space="preserve">Daniel Brewer, </w:t>
      </w:r>
      <w:r>
        <w:rPr>
          <w:i/>
          <w:iCs/>
        </w:rPr>
        <w:t>ibid.,</w:t>
      </w:r>
      <w:r>
        <w:t xml:space="preserve"> p. </w:t>
      </w:r>
      <w:r>
        <w:rPr>
          <w:shd w:val="clear" w:color="auto" w:fill="80FFFF"/>
        </w:rPr>
        <w:t>16</w:t>
      </w:r>
      <w:r>
        <w:t>7.</w:t>
      </w:r>
    </w:p>
  </w:footnote>
  <w:footnote w:id="23">
    <w:p w14:paraId="2B2CB1D4" w14:textId="77777777" w:rsidR="007408BC" w:rsidRDefault="00000000">
      <w:pPr>
        <w:pStyle w:val="Footnote10"/>
        <w:tabs>
          <w:tab w:val="left" w:pos="394"/>
        </w:tabs>
        <w:spacing w:line="240" w:lineRule="auto"/>
        <w:ind w:left="0" w:firstLine="0"/>
      </w:pPr>
      <w:r>
        <w:footnoteRef/>
      </w:r>
      <w:r>
        <w:tab/>
        <w:t xml:space="preserve">Norman Bryson, </w:t>
      </w:r>
      <w:r>
        <w:rPr>
          <w:i/>
          <w:iCs/>
        </w:rPr>
        <w:t>op. cit.,</w:t>
      </w:r>
      <w:r>
        <w:t xml:space="preserve"> p. </w:t>
      </w:r>
      <w:r>
        <w:rPr>
          <w:shd w:val="clear" w:color="auto" w:fill="80FFFF"/>
        </w:rPr>
        <w:t>19</w:t>
      </w:r>
      <w:r>
        <w:t>7.</w:t>
      </w:r>
    </w:p>
  </w:footnote>
  <w:footnote w:id="24">
    <w:p w14:paraId="6CAECF61" w14:textId="77777777" w:rsidR="007408BC" w:rsidRDefault="00000000">
      <w:pPr>
        <w:pStyle w:val="Footnote10"/>
        <w:tabs>
          <w:tab w:val="left" w:pos="389"/>
        </w:tabs>
        <w:ind w:left="0" w:firstLine="0"/>
      </w:pPr>
      <w:r>
        <w:footnoteRef/>
      </w:r>
      <w:r>
        <w:tab/>
        <w:t xml:space="preserve">Norman Bryson, </w:t>
      </w:r>
      <w:r>
        <w:rPr>
          <w:i/>
          <w:iCs/>
        </w:rPr>
        <w:t>op</w:t>
      </w:r>
      <w:r>
        <w:rPr>
          <w:i/>
          <w:iCs/>
          <w:shd w:val="clear" w:color="auto" w:fill="80FFFF"/>
        </w:rPr>
        <w:t>.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cit.</w:t>
      </w:r>
      <w:r>
        <w:rPr>
          <w:i/>
          <w:iCs/>
          <w:shd w:val="clear" w:color="auto" w:fill="80FFFF"/>
          <w:vertAlign w:val="subscript"/>
        </w:rPr>
        <w:t>y</w:t>
      </w:r>
      <w:proofErr w:type="gramEnd"/>
      <w:r>
        <w:t xml:space="preserve"> p. 202.</w:t>
      </w:r>
    </w:p>
  </w:footnote>
  <w:footnote w:id="25">
    <w:p w14:paraId="0956B361" w14:textId="77777777" w:rsidR="007408BC" w:rsidRDefault="00000000">
      <w:pPr>
        <w:pStyle w:val="Footnote10"/>
        <w:tabs>
          <w:tab w:val="left" w:pos="389"/>
        </w:tabs>
        <w:ind w:left="420" w:hanging="420"/>
        <w:jc w:val="both"/>
      </w:pPr>
      <w:r>
        <w:footnoteRef/>
      </w:r>
      <w:r>
        <w:tab/>
      </w:r>
      <w:r>
        <w:rPr>
          <w:i/>
          <w:iCs/>
        </w:rPr>
        <w:t>Ibid.</w:t>
      </w:r>
      <w:r>
        <w:t xml:space="preserve"> Space constraints keep me from taking up the similarly Greenbergian argument</w:t>
      </w:r>
      <w:r>
        <w:br/>
        <w:t xml:space="preserve">of Jacqueline Lichtenstein, </w:t>
      </w:r>
      <w:r>
        <w:rPr>
          <w:i/>
          <w:iCs/>
        </w:rPr>
        <w:t>La Tache aveugle</w:t>
      </w:r>
      <w:r>
        <w:rPr>
          <w:i/>
          <w:iCs/>
          <w:shd w:val="clear" w:color="auto" w:fill="80FFFF"/>
        </w:rPr>
        <w:t>:</w:t>
      </w:r>
      <w:r>
        <w:rPr>
          <w:i/>
          <w:iCs/>
        </w:rPr>
        <w:t xml:space="preserve"> Essai sur les relations de la peinture et de</w:t>
      </w:r>
      <w:r>
        <w:rPr>
          <w:i/>
          <w:iCs/>
        </w:rPr>
        <w:br/>
        <w:t>la sculpture à l</w:t>
      </w:r>
      <w:r>
        <w:rPr>
          <w:i/>
          <w:iCs/>
          <w:shd w:val="clear" w:color="auto" w:fill="80FFFF"/>
        </w:rPr>
        <w:t>’</w:t>
      </w:r>
      <w:r>
        <w:rPr>
          <w:i/>
          <w:iCs/>
        </w:rPr>
        <w:t>â</w:t>
      </w:r>
      <w:r>
        <w:rPr>
          <w:i/>
          <w:iCs/>
          <w:shd w:val="clear" w:color="auto" w:fill="80FFFF"/>
        </w:rPr>
        <w:t>g</w:t>
      </w:r>
      <w:r>
        <w:rPr>
          <w:i/>
          <w:iCs/>
        </w:rPr>
        <w:t>e moderne</w:t>
      </w:r>
      <w:r>
        <w:rPr>
          <w:i/>
          <w:iCs/>
          <w:shd w:val="clear" w:color="auto" w:fill="80FFFF"/>
        </w:rPr>
        <w:t>.,</w:t>
      </w:r>
      <w:r>
        <w:t xml:space="preserve"> Paris, Gallimard, 2003, p. </w:t>
      </w:r>
      <w:r>
        <w:rPr>
          <w:shd w:val="clear" w:color="auto" w:fill="80FFFF"/>
        </w:rPr>
        <w:t>110</w:t>
      </w:r>
      <w:r>
        <w:t>-</w:t>
      </w:r>
      <w:r>
        <w:rPr>
          <w:shd w:val="clear" w:color="auto" w:fill="80FFFF"/>
        </w:rPr>
        <w:t>11.</w:t>
      </w:r>
    </w:p>
  </w:footnote>
  <w:footnote w:id="26">
    <w:p w14:paraId="5E2C3C85" w14:textId="77777777" w:rsidR="007408BC" w:rsidRPr="008B493A" w:rsidRDefault="00000000">
      <w:pPr>
        <w:pStyle w:val="Footnote10"/>
        <w:tabs>
          <w:tab w:val="left" w:pos="394"/>
        </w:tabs>
        <w:ind w:left="0" w:firstLine="0"/>
        <w:rPr>
          <w:lang w:val="es-ES"/>
        </w:rPr>
      </w:pPr>
      <w:r>
        <w:footnoteRef/>
      </w:r>
      <w:r w:rsidRPr="008B493A">
        <w:rPr>
          <w:lang w:val="es-ES"/>
        </w:rPr>
        <w:tab/>
      </w:r>
      <w:r w:rsidRPr="008B493A">
        <w:rPr>
          <w:i/>
          <w:iCs/>
          <w:lang w:val="es-ES"/>
        </w:rPr>
        <w:t>Ibid.</w:t>
      </w:r>
    </w:p>
  </w:footnote>
  <w:footnote w:id="27">
    <w:p w14:paraId="621AA191" w14:textId="77777777" w:rsidR="007408BC" w:rsidRPr="008B493A" w:rsidRDefault="00000000">
      <w:pPr>
        <w:pStyle w:val="Footnote10"/>
        <w:tabs>
          <w:tab w:val="left" w:pos="394"/>
        </w:tabs>
        <w:ind w:left="0" w:firstLine="0"/>
        <w:rPr>
          <w:lang w:val="es-ES"/>
        </w:rPr>
      </w:pPr>
      <w:r>
        <w:footnoteRef/>
      </w:r>
      <w:r w:rsidRPr="008B493A">
        <w:rPr>
          <w:lang w:val="es-ES"/>
        </w:rPr>
        <w:tab/>
      </w:r>
      <w:r w:rsidRPr="008B493A">
        <w:rPr>
          <w:i/>
          <w:iCs/>
          <w:lang w:val="es-ES"/>
        </w:rPr>
        <w:t>Ibid.</w:t>
      </w:r>
    </w:p>
  </w:footnote>
  <w:footnote w:id="28">
    <w:p w14:paraId="32B51D0E" w14:textId="77777777" w:rsidR="007408BC" w:rsidRPr="008B493A" w:rsidRDefault="00000000">
      <w:pPr>
        <w:pStyle w:val="Footnote10"/>
        <w:tabs>
          <w:tab w:val="left" w:pos="394"/>
        </w:tabs>
        <w:ind w:left="0" w:firstLine="0"/>
        <w:rPr>
          <w:lang w:val="es-ES"/>
        </w:rPr>
      </w:pPr>
      <w:r>
        <w:footnoteRef/>
      </w:r>
      <w:r w:rsidRPr="008B493A">
        <w:rPr>
          <w:lang w:val="es-ES"/>
        </w:rPr>
        <w:tab/>
      </w:r>
      <w:r w:rsidRPr="008B493A">
        <w:rPr>
          <w:i/>
          <w:iCs/>
          <w:lang w:val="es-ES"/>
        </w:rPr>
        <w:t>Ibid</w:t>
      </w:r>
      <w:r w:rsidRPr="008B493A">
        <w:rPr>
          <w:i/>
          <w:iCs/>
          <w:shd w:val="clear" w:color="auto" w:fill="80FFFF"/>
          <w:lang w:val="es-ES"/>
        </w:rPr>
        <w:t>.</w:t>
      </w:r>
    </w:p>
  </w:footnote>
  <w:footnote w:id="29">
    <w:p w14:paraId="692872B5" w14:textId="77777777" w:rsidR="007408BC" w:rsidRPr="008B493A" w:rsidRDefault="00000000">
      <w:pPr>
        <w:pStyle w:val="Footnote10"/>
        <w:tabs>
          <w:tab w:val="left" w:pos="398"/>
        </w:tabs>
        <w:ind w:left="0" w:firstLine="0"/>
        <w:rPr>
          <w:lang w:val="es-ES"/>
        </w:rPr>
      </w:pPr>
      <w:r>
        <w:footnoteRef/>
      </w:r>
      <w:r w:rsidRPr="008B493A">
        <w:rPr>
          <w:lang w:val="es-ES"/>
        </w:rPr>
        <w:tab/>
      </w:r>
      <w:r w:rsidRPr="008B493A">
        <w:rPr>
          <w:i/>
          <w:iCs/>
          <w:lang w:val="es-ES"/>
        </w:rPr>
        <w:t xml:space="preserve">Ibid. </w:t>
      </w:r>
      <w:r w:rsidRPr="008B493A">
        <w:rPr>
          <w:i/>
          <w:iCs/>
          <w:shd w:val="clear" w:color="auto" w:fill="80FFFF"/>
          <w:vertAlign w:val="subscript"/>
          <w:lang w:val="es-ES"/>
        </w:rPr>
        <w:t>y</w:t>
      </w:r>
      <w:r w:rsidRPr="008B493A">
        <w:rPr>
          <w:lang w:val="es-ES"/>
        </w:rPr>
        <w:t xml:space="preserve"> p. 200.</w:t>
      </w:r>
    </w:p>
  </w:footnote>
  <w:footnote w:id="30">
    <w:p w14:paraId="4FC574AD" w14:textId="77777777" w:rsidR="007408BC" w:rsidRDefault="00000000">
      <w:pPr>
        <w:pStyle w:val="Footnote10"/>
        <w:tabs>
          <w:tab w:val="left" w:pos="389"/>
        </w:tabs>
        <w:ind w:left="420" w:hanging="420"/>
        <w:jc w:val="both"/>
      </w:pPr>
      <w:r>
        <w:footnoteRef/>
      </w:r>
      <w:r>
        <w:tab/>
        <w:t>Admittedly, Bryson does not try to push Diderot toward full semiotic disenchant-</w:t>
      </w:r>
      <w:r>
        <w:br/>
      </w:r>
      <w:proofErr w:type="gramStart"/>
      <w:r>
        <w:t>ment, but</w:t>
      </w:r>
      <w:proofErr w:type="gramEnd"/>
      <w:r>
        <w:t xml:space="preserve"> has him finding a charmed “point of balance</w:t>
      </w:r>
      <w:r>
        <w:rPr>
          <w:shd w:val="clear" w:color="auto" w:fill="80FFFF"/>
        </w:rPr>
        <w:t>”</w:t>
      </w:r>
      <w:r>
        <w:t xml:space="preserve"> where signifier and signi-</w:t>
      </w:r>
      <w:r>
        <w:br/>
        <w:t xml:space="preserve">fied are simultaneously experienced (Norman Bryson, </w:t>
      </w:r>
      <w:r>
        <w:rPr>
          <w:i/>
          <w:iCs/>
        </w:rPr>
        <w:t>ibid.</w:t>
      </w:r>
      <w:r>
        <w:rPr>
          <w:i/>
          <w:iCs/>
          <w:shd w:val="clear" w:color="auto" w:fill="80FFFF"/>
        </w:rPr>
        <w:t>,</w:t>
      </w:r>
      <w:r>
        <w:t xml:space="preserve"> p. 203). Nonetheless,</w:t>
      </w:r>
      <w:r>
        <w:br/>
        <w:t>Brysons overall modernity narrative is patent.</w:t>
      </w:r>
    </w:p>
  </w:footnote>
  <w:footnote w:id="31">
    <w:p w14:paraId="6519F267" w14:textId="77777777" w:rsidR="007408BC" w:rsidRPr="008B493A" w:rsidRDefault="00000000">
      <w:pPr>
        <w:pStyle w:val="Footnote10"/>
        <w:ind w:left="380" w:hanging="380"/>
        <w:jc w:val="both"/>
        <w:rPr>
          <w:lang w:val="fr-FR"/>
        </w:rPr>
      </w:pPr>
      <w:r>
        <w:footnoteRef/>
      </w:r>
      <w:r>
        <w:t xml:space="preserve"> </w:t>
      </w:r>
      <w:r>
        <w:rPr>
          <w:shd w:val="clear" w:color="auto" w:fill="80FFFF"/>
        </w:rPr>
        <w:t>•</w:t>
      </w:r>
      <w:r>
        <w:t xml:space="preserve"> Marian Hobson, </w:t>
      </w:r>
      <w:r>
        <w:rPr>
          <w:i/>
          <w:iCs/>
        </w:rPr>
        <w:t>The Object of Art: The Theory of Illusion in Eighteent</w:t>
      </w:r>
      <w:r>
        <w:rPr>
          <w:i/>
          <w:iCs/>
          <w:shd w:val="clear" w:color="auto" w:fill="80FFFF"/>
        </w:rPr>
        <w:t>h-</w:t>
      </w:r>
      <w:r>
        <w:rPr>
          <w:i/>
          <w:iCs/>
        </w:rPr>
        <w:t>Century France</w:t>
      </w:r>
      <w:r>
        <w:rPr>
          <w:i/>
          <w:iCs/>
          <w:shd w:val="clear" w:color="auto" w:fill="80FFFF"/>
        </w:rPr>
        <w:t>.,</w:t>
      </w:r>
      <w:r>
        <w:rPr>
          <w:i/>
          <w:iCs/>
          <w:shd w:val="clear" w:color="auto" w:fill="80FFFF"/>
        </w:rPr>
        <w:br/>
      </w:r>
      <w:r>
        <w:t xml:space="preserve">Cambridge, Cambridge University Press, 1982, p. 77. </w:t>
      </w:r>
      <w:r w:rsidRPr="008B493A">
        <w:rPr>
          <w:lang w:val="fr-FR"/>
        </w:rPr>
        <w:t>La Font de Saint-</w:t>
      </w:r>
      <w:r w:rsidRPr="008B493A">
        <w:rPr>
          <w:shd w:val="clear" w:color="auto" w:fill="80FFFF"/>
          <w:lang w:val="fr-FR"/>
        </w:rPr>
        <w:t>Y</w:t>
      </w:r>
      <w:r w:rsidRPr="008B493A">
        <w:rPr>
          <w:lang w:val="fr-FR"/>
        </w:rPr>
        <w:t>enne</w:t>
      </w:r>
      <w:r w:rsidRPr="008B493A">
        <w:rPr>
          <w:shd w:val="clear" w:color="auto" w:fill="80FFFF"/>
          <w:lang w:val="fr-FR"/>
        </w:rPr>
        <w:t xml:space="preserve"> </w:t>
      </w:r>
      <w:r w:rsidRPr="008B493A">
        <w:rPr>
          <w:lang w:val="fr-FR"/>
        </w:rPr>
        <w:t>s</w:t>
      </w:r>
      <w:r w:rsidRPr="008B493A">
        <w:rPr>
          <w:lang w:val="fr-FR"/>
        </w:rPr>
        <w:br/>
        <w:t xml:space="preserve">expression, quoted by Hobson, occurs in his 1754 </w:t>
      </w:r>
      <w:r w:rsidRPr="008B493A">
        <w:rPr>
          <w:i/>
          <w:iCs/>
          <w:lang w:val="fr-FR"/>
        </w:rPr>
        <w:t xml:space="preserve">Sentiments sur quelques ouvrages </w:t>
      </w:r>
      <w:r w:rsidRPr="008B493A">
        <w:rPr>
          <w:i/>
          <w:iCs/>
          <w:shd w:val="clear" w:color="auto" w:fill="80FFFF"/>
          <w:lang w:val="fr-FR"/>
        </w:rPr>
        <w:t>d</w:t>
      </w:r>
      <w:r w:rsidRPr="008B493A">
        <w:rPr>
          <w:i/>
          <w:iCs/>
          <w:lang w:val="fr-FR"/>
        </w:rPr>
        <w:t>e</w:t>
      </w:r>
      <w:r w:rsidRPr="008B493A">
        <w:rPr>
          <w:i/>
          <w:iCs/>
          <w:lang w:val="fr-FR"/>
        </w:rPr>
        <w:br/>
        <w:t>peintur</w:t>
      </w:r>
      <w:r w:rsidRPr="008B493A">
        <w:rPr>
          <w:i/>
          <w:iCs/>
          <w:shd w:val="clear" w:color="auto" w:fill="80FFFF"/>
          <w:lang w:val="fr-FR"/>
        </w:rPr>
        <w:t>e</w:t>
      </w:r>
      <w:r w:rsidRPr="008B493A">
        <w:rPr>
          <w:i/>
          <w:iCs/>
          <w:lang w:val="fr-FR"/>
        </w:rPr>
        <w:t>.</w:t>
      </w:r>
    </w:p>
  </w:footnote>
  <w:footnote w:id="32">
    <w:p w14:paraId="2F75464A" w14:textId="77777777" w:rsidR="007408BC" w:rsidRDefault="00000000">
      <w:pPr>
        <w:pStyle w:val="Footnote10"/>
        <w:numPr>
          <w:ilvl w:val="0"/>
          <w:numId w:val="1"/>
        </w:numPr>
        <w:tabs>
          <w:tab w:val="left" w:pos="394"/>
        </w:tabs>
        <w:ind w:left="0" w:firstLine="0"/>
      </w:pPr>
      <w:r>
        <w:t xml:space="preserve">Marian Hobson, </w:t>
      </w:r>
      <w:proofErr w:type="gramStart"/>
      <w:r>
        <w:rPr>
          <w:i/>
          <w:iCs/>
        </w:rPr>
        <w:t>ibid.</w:t>
      </w:r>
      <w:r>
        <w:rPr>
          <w:i/>
          <w:iCs/>
          <w:shd w:val="clear" w:color="auto" w:fill="80FFFF"/>
          <w:vertAlign w:val="subscript"/>
        </w:rPr>
        <w:t>y</w:t>
      </w:r>
      <w:proofErr w:type="gramEnd"/>
      <w:r>
        <w:t xml:space="preserve"> p. 77-78 and 79-80.</w:t>
      </w:r>
    </w:p>
  </w:footnote>
  <w:footnote w:id="33">
    <w:p w14:paraId="41165BCD" w14:textId="77777777" w:rsidR="007408BC" w:rsidRDefault="00000000">
      <w:pPr>
        <w:pStyle w:val="Footnote10"/>
        <w:numPr>
          <w:ilvl w:val="0"/>
          <w:numId w:val="2"/>
        </w:numPr>
        <w:tabs>
          <w:tab w:val="left" w:pos="394"/>
        </w:tabs>
        <w:ind w:left="0" w:firstLine="0"/>
      </w:pPr>
      <w:r>
        <w:t xml:space="preserve">Marian Hobson, </w:t>
      </w:r>
      <w:r>
        <w:rPr>
          <w:i/>
          <w:iCs/>
        </w:rPr>
        <w:t>ibi</w:t>
      </w:r>
      <w:r>
        <w:rPr>
          <w:i/>
          <w:iCs/>
          <w:shd w:val="clear" w:color="auto" w:fill="80FFFF"/>
        </w:rPr>
        <w:t>d.,</w:t>
      </w:r>
      <w:r>
        <w:t xml:space="preserve"> p. 61.</w:t>
      </w:r>
    </w:p>
  </w:footnote>
  <w:footnote w:id="34">
    <w:p w14:paraId="11CC95ED" w14:textId="77777777" w:rsidR="007408BC" w:rsidRDefault="00000000">
      <w:pPr>
        <w:pStyle w:val="Footnote10"/>
        <w:numPr>
          <w:ilvl w:val="0"/>
          <w:numId w:val="3"/>
        </w:numPr>
        <w:tabs>
          <w:tab w:val="left" w:pos="403"/>
        </w:tabs>
        <w:spacing w:line="240" w:lineRule="auto"/>
        <w:ind w:hanging="400"/>
      </w:pPr>
      <w:r>
        <w:t>Hobson redefines her terms and restates her narrative in ways that are, for this reader,</w:t>
      </w:r>
      <w:r>
        <w:br/>
        <w:t>barely coherent.</w:t>
      </w:r>
    </w:p>
  </w:footnote>
  <w:footnote w:id="35">
    <w:p w14:paraId="70A05F64" w14:textId="77777777" w:rsidR="007408BC" w:rsidRDefault="00000000">
      <w:pPr>
        <w:pStyle w:val="Footnote10"/>
        <w:tabs>
          <w:tab w:val="left" w:pos="394"/>
        </w:tabs>
        <w:ind w:left="380" w:hanging="380"/>
        <w:jc w:val="both"/>
      </w:pPr>
      <w:r>
        <w:rPr>
          <w:shd w:val="clear" w:color="auto" w:fill="FFFFFF"/>
        </w:rPr>
        <w:footnoteRef/>
      </w:r>
      <w:r>
        <w:tab/>
        <w:t xml:space="preserve">See for example the narrative of Pierre Frantz, </w:t>
      </w:r>
      <w:r>
        <w:rPr>
          <w:i/>
          <w:iCs/>
        </w:rPr>
        <w:t>L</w:t>
      </w:r>
      <w:r>
        <w:rPr>
          <w:i/>
          <w:iCs/>
          <w:shd w:val="clear" w:color="auto" w:fill="80FFFF"/>
        </w:rPr>
        <w:t>'</w:t>
      </w:r>
      <w:r>
        <w:rPr>
          <w:i/>
          <w:iCs/>
        </w:rPr>
        <w:t>Esthétique du tableau dans le théâtre</w:t>
      </w:r>
      <w:r>
        <w:rPr>
          <w:i/>
          <w:iCs/>
        </w:rPr>
        <w:br/>
        <w:t xml:space="preserve">du </w:t>
      </w:r>
      <w:r>
        <w:rPr>
          <w:i/>
          <w:iCs/>
          <w:shd w:val="clear" w:color="auto" w:fill="80FFFF"/>
        </w:rPr>
        <w:t>X</w:t>
      </w:r>
      <w:r>
        <w:rPr>
          <w:i/>
          <w:iCs/>
        </w:rPr>
        <w:t>VII</w:t>
      </w:r>
      <w:r>
        <w:rPr>
          <w:i/>
          <w:iCs/>
          <w:shd w:val="clear" w:color="auto" w:fill="80FFFF"/>
        </w:rPr>
        <w:t>I</w:t>
      </w:r>
      <w:r>
        <w:rPr>
          <w:i/>
          <w:iCs/>
          <w:shd w:val="clear" w:color="auto" w:fill="80FFFF"/>
          <w:vertAlign w:val="superscript"/>
        </w:rPr>
        <w:t>e</w:t>
      </w:r>
      <w:r>
        <w:rPr>
          <w:i/>
          <w:iCs/>
        </w:rPr>
        <w:t xml:space="preserve"> siècle,</w:t>
      </w:r>
      <w:r>
        <w:t xml:space="preserve"> Paris, PUF, </w:t>
      </w:r>
      <w:r>
        <w:rPr>
          <w:shd w:val="clear" w:color="auto" w:fill="80FFFF"/>
        </w:rPr>
        <w:t>19</w:t>
      </w:r>
      <w:r>
        <w:t>98, who holds moreover that t</w:t>
      </w:r>
      <w:r>
        <w:rPr>
          <w:shd w:val="clear" w:color="auto" w:fill="80FFFF"/>
        </w:rPr>
        <w:t>h</w:t>
      </w:r>
      <w:r>
        <w:t xml:space="preserve">e </w:t>
      </w:r>
      <w:r>
        <w:rPr>
          <w:i/>
          <w:iCs/>
        </w:rPr>
        <w:t>p</w:t>
      </w:r>
      <w:r>
        <w:rPr>
          <w:i/>
          <w:iCs/>
          <w:shd w:val="clear" w:color="auto" w:fill="80FFFF"/>
        </w:rPr>
        <w:t>h</w:t>
      </w:r>
      <w:r>
        <w:rPr>
          <w:i/>
          <w:iCs/>
        </w:rPr>
        <w:t>ilosop</w:t>
      </w:r>
      <w:r>
        <w:rPr>
          <w:i/>
          <w:iCs/>
          <w:shd w:val="clear" w:color="auto" w:fill="80FFFF"/>
        </w:rPr>
        <w:t>h</w:t>
      </w:r>
      <w:r>
        <w:rPr>
          <w:i/>
          <w:iCs/>
        </w:rPr>
        <w:t>e</w:t>
      </w:r>
      <w:r>
        <w:rPr>
          <w:i/>
          <w:iCs/>
          <w:shd w:val="clear" w:color="auto" w:fill="80FFFF"/>
        </w:rPr>
        <w:t>s</w:t>
      </w:r>
      <w:r>
        <w:t xml:space="preserve"> fascination</w:t>
      </w:r>
      <w:r>
        <w:br/>
        <w:t>with Chardins magic “parachève le protocole de la représentation en instillant en son</w:t>
      </w:r>
      <w:r>
        <w:br/>
        <w:t xml:space="preserve">cœur </w:t>
      </w:r>
      <w:r>
        <w:rPr>
          <w:i/>
          <w:iCs/>
        </w:rPr>
        <w:t>une cris</w:t>
      </w:r>
      <w:r>
        <w:rPr>
          <w:i/>
          <w:iCs/>
          <w:shd w:val="clear" w:color="auto" w:fill="80FFFF"/>
        </w:rPr>
        <w:t>e</w:t>
      </w:r>
      <w:r>
        <w:rPr>
          <w:shd w:val="clear" w:color="auto" w:fill="80FFFF"/>
        </w:rPr>
        <w:t>’</w:t>
      </w:r>
      <w:r>
        <w:t xml:space="preserve"> (p. 2</w:t>
      </w:r>
      <w:r>
        <w:rPr>
          <w:shd w:val="clear" w:color="auto" w:fill="80FFFF"/>
        </w:rPr>
        <w:t>51,</w:t>
      </w:r>
      <w:r>
        <w:t xml:space="preserve"> my emphasis).</w:t>
      </w:r>
    </w:p>
  </w:footnote>
  <w:footnote w:id="36">
    <w:p w14:paraId="5378654E" w14:textId="77777777" w:rsidR="007408BC" w:rsidRDefault="00000000">
      <w:pPr>
        <w:pStyle w:val="Footnote10"/>
        <w:tabs>
          <w:tab w:val="left" w:pos="398"/>
        </w:tabs>
        <w:ind w:hanging="400"/>
        <w:jc w:val="both"/>
      </w:pPr>
      <w:r>
        <w:footnoteRef/>
      </w:r>
      <w:r>
        <w:tab/>
        <w:t>See Eric J. Sluijter, “Didactic and Disguised Meanings? Several Seventeenth-Century</w:t>
      </w:r>
      <w:r>
        <w:br/>
        <w:t>Texts on Painting and the Iconographical Approach to Northern Dutch Paintings of</w:t>
      </w:r>
      <w:r>
        <w:br/>
        <w:t>This Period</w:t>
      </w:r>
      <w:r>
        <w:rPr>
          <w:shd w:val="clear" w:color="auto" w:fill="80FFFF"/>
        </w:rPr>
        <w:t>”</w:t>
      </w:r>
      <w:r>
        <w:t xml:space="preserve">, in </w:t>
      </w:r>
      <w:r>
        <w:rPr>
          <w:i/>
          <w:iCs/>
        </w:rPr>
        <w:t>Art in History, History in Art: Studies in Seventeenth</w:t>
      </w:r>
      <w:r>
        <w:rPr>
          <w:i/>
          <w:iCs/>
          <w:shd w:val="clear" w:color="auto" w:fill="80FFFF"/>
        </w:rPr>
        <w:t>-</w:t>
      </w:r>
      <w:r>
        <w:rPr>
          <w:i/>
          <w:iCs/>
        </w:rPr>
        <w:t>Century Dutch</w:t>
      </w:r>
      <w:r>
        <w:rPr>
          <w:i/>
          <w:iCs/>
        </w:rPr>
        <w:br/>
        <w:t>Cultur</w:t>
      </w:r>
      <w:r>
        <w:rPr>
          <w:i/>
          <w:iCs/>
          <w:shd w:val="clear" w:color="auto" w:fill="80FFFF"/>
        </w:rPr>
        <w:t>e</w:t>
      </w:r>
      <w:r>
        <w:t xml:space="preserve">, ed. David Freedberg and Jan de Vries, Los Angeles, Getty Center, </w:t>
      </w:r>
      <w:r>
        <w:rPr>
          <w:shd w:val="clear" w:color="auto" w:fill="80FFFF"/>
        </w:rPr>
        <w:t>19</w:t>
      </w:r>
      <w:r>
        <w:t>91,</w:t>
      </w:r>
      <w:r>
        <w:br/>
        <w:t>p. 175-207.</w:t>
      </w:r>
    </w:p>
  </w:footnote>
  <w:footnote w:id="37">
    <w:p w14:paraId="4CD3436B" w14:textId="77777777" w:rsidR="007408BC" w:rsidRDefault="00000000">
      <w:pPr>
        <w:pStyle w:val="Footnote10"/>
        <w:tabs>
          <w:tab w:val="left" w:pos="398"/>
        </w:tabs>
        <w:spacing w:line="240" w:lineRule="auto"/>
        <w:ind w:hanging="400"/>
        <w:jc w:val="both"/>
      </w:pPr>
      <w:r>
        <w:footnoteRef/>
      </w:r>
      <w:r>
        <w:tab/>
        <w:t xml:space="preserve">Psychoanalytically disposed critics, however, have detected in </w:t>
      </w:r>
      <w:r>
        <w:rPr>
          <w:i/>
          <w:iCs/>
        </w:rPr>
        <w:t>La Raie</w:t>
      </w:r>
      <w:r>
        <w:t xml:space="preserve"> a preoccupa-</w:t>
      </w:r>
      <w:r>
        <w:br/>
        <w:t xml:space="preserve">tion with bodies and sex; see, e.g., René Démoris, </w:t>
      </w:r>
      <w:r>
        <w:rPr>
          <w:i/>
          <w:iCs/>
        </w:rPr>
        <w:t>o</w:t>
      </w:r>
      <w:r>
        <w:rPr>
          <w:i/>
          <w:iCs/>
          <w:shd w:val="clear" w:color="auto" w:fill="80FFFF"/>
        </w:rPr>
        <w:t>p.</w:t>
      </w:r>
      <w:r>
        <w:rPr>
          <w:i/>
          <w:iCs/>
        </w:rPr>
        <w:t xml:space="preserve"> ci</w:t>
      </w:r>
      <w:r>
        <w:rPr>
          <w:i/>
          <w:iCs/>
          <w:shd w:val="clear" w:color="auto" w:fill="80FFFF"/>
        </w:rPr>
        <w:t>t</w:t>
      </w:r>
      <w:r>
        <w:t>., p. 31-38.</w:t>
      </w:r>
    </w:p>
  </w:footnote>
  <w:footnote w:id="38">
    <w:p w14:paraId="5FCE30CB" w14:textId="77777777" w:rsidR="007408BC" w:rsidRDefault="00000000">
      <w:pPr>
        <w:pStyle w:val="Footnote10"/>
        <w:tabs>
          <w:tab w:val="left" w:pos="398"/>
        </w:tabs>
        <w:ind w:left="0" w:firstLine="0"/>
      </w:pPr>
      <w:r>
        <w:footnoteRef/>
      </w:r>
      <w:r w:rsidRPr="008B493A">
        <w:rPr>
          <w:lang w:val="fr-FR"/>
        </w:rPr>
        <w:tab/>
        <w:t xml:space="preserve">Blaise Pascal, </w:t>
      </w:r>
      <w:r w:rsidRPr="008B493A">
        <w:rPr>
          <w:i/>
          <w:iCs/>
          <w:lang w:val="fr-FR"/>
        </w:rPr>
        <w:t>Les Pe</w:t>
      </w:r>
      <w:r w:rsidRPr="008B493A">
        <w:rPr>
          <w:i/>
          <w:iCs/>
          <w:shd w:val="clear" w:color="auto" w:fill="80FFFF"/>
          <w:lang w:val="fr-FR"/>
        </w:rPr>
        <w:t>n</w:t>
      </w:r>
      <w:r w:rsidRPr="008B493A">
        <w:rPr>
          <w:i/>
          <w:iCs/>
          <w:lang w:val="fr-FR"/>
        </w:rPr>
        <w:t>sées</w:t>
      </w:r>
      <w:r w:rsidRPr="008B493A">
        <w:rPr>
          <w:i/>
          <w:iCs/>
          <w:shd w:val="clear" w:color="auto" w:fill="80FFFF"/>
          <w:lang w:val="fr-FR"/>
        </w:rPr>
        <w:t>,</w:t>
      </w:r>
      <w:r w:rsidRPr="008B493A">
        <w:rPr>
          <w:lang w:val="fr-FR"/>
        </w:rPr>
        <w:t xml:space="preserve"> ed. </w:t>
      </w:r>
      <w:r>
        <w:t>Michel Le Guern, Paris, Gallimard, 1977, p</w:t>
      </w:r>
      <w:r>
        <w:rPr>
          <w:shd w:val="clear" w:color="auto" w:fill="80FFFF"/>
        </w:rPr>
        <w:t>.</w:t>
      </w:r>
      <w:r>
        <w:t xml:space="preserve"> 75-76.</w:t>
      </w:r>
    </w:p>
  </w:footnote>
  <w:footnote w:id="39">
    <w:p w14:paraId="0432BC2F" w14:textId="77777777" w:rsidR="007408BC" w:rsidRDefault="00000000">
      <w:pPr>
        <w:pStyle w:val="Footnote10"/>
        <w:tabs>
          <w:tab w:val="left" w:pos="384"/>
        </w:tabs>
        <w:spacing w:line="257" w:lineRule="auto"/>
        <w:ind w:hanging="400"/>
        <w:jc w:val="both"/>
      </w:pPr>
      <w:r>
        <w:footnoteRef/>
      </w:r>
      <w:r>
        <w:tab/>
      </w:r>
      <w:r>
        <w:rPr>
          <w:i/>
          <w:iCs/>
        </w:rPr>
        <w:t>Poetics</w:t>
      </w:r>
      <w:r>
        <w:t xml:space="preserve"> 1448b, in </w:t>
      </w:r>
      <w:r>
        <w:rPr>
          <w:i/>
          <w:iCs/>
        </w:rPr>
        <w:t>Ancient Literary Criticis</w:t>
      </w:r>
      <w:r>
        <w:rPr>
          <w:i/>
          <w:iCs/>
          <w:shd w:val="clear" w:color="auto" w:fill="80FFFF"/>
        </w:rPr>
        <w:t>m:</w:t>
      </w:r>
      <w:r>
        <w:rPr>
          <w:i/>
          <w:iCs/>
        </w:rPr>
        <w:t xml:space="preserve"> The Principal Texts in New Translation</w:t>
      </w:r>
      <w:r>
        <w:rPr>
          <w:i/>
          <w:iCs/>
          <w:shd w:val="clear" w:color="auto" w:fill="80FFFF"/>
        </w:rPr>
        <w:t>s</w:t>
      </w:r>
      <w:r>
        <w:rPr>
          <w:i/>
          <w:iCs/>
        </w:rPr>
        <w:t>,</w:t>
      </w:r>
      <w:r>
        <w:rPr>
          <w:i/>
          <w:iCs/>
        </w:rPr>
        <w:br/>
      </w:r>
      <w:r>
        <w:t>ed. D. A. Russell and M. Winterbottom, Oxford, Oxford University Press, 1972,</w:t>
      </w:r>
      <w:r>
        <w:br/>
        <w:t>p. 94.</w:t>
      </w:r>
    </w:p>
  </w:footnote>
  <w:footnote w:id="40">
    <w:p w14:paraId="296A01C9" w14:textId="77777777" w:rsidR="007408BC" w:rsidRPr="008B493A" w:rsidRDefault="00000000">
      <w:pPr>
        <w:pStyle w:val="Footnote10"/>
        <w:tabs>
          <w:tab w:val="left" w:pos="389"/>
        </w:tabs>
        <w:ind w:hanging="400"/>
        <w:rPr>
          <w:lang w:val="fr-FR"/>
        </w:rPr>
      </w:pPr>
      <w:r>
        <w:footnoteRef/>
      </w:r>
      <w:r w:rsidRPr="008B493A">
        <w:rPr>
          <w:lang w:val="fr-FR"/>
        </w:rPr>
        <w:tab/>
        <w:t xml:space="preserve">Nicolas Boileau, </w:t>
      </w:r>
      <w:r w:rsidRPr="008B493A">
        <w:rPr>
          <w:i/>
          <w:iCs/>
          <w:lang w:val="fr-FR"/>
        </w:rPr>
        <w:t>Art poétique</w:t>
      </w:r>
      <w:r w:rsidRPr="008B493A">
        <w:rPr>
          <w:i/>
          <w:iCs/>
          <w:shd w:val="clear" w:color="auto" w:fill="80FFFF"/>
          <w:lang w:val="fr-FR"/>
        </w:rPr>
        <w:t>,</w:t>
      </w:r>
      <w:r w:rsidRPr="008B493A">
        <w:rPr>
          <w:lang w:val="fr-FR"/>
        </w:rPr>
        <w:t xml:space="preserve"> ed. Sylvain Menant, Paris, GF Flammarion, 1969,</w:t>
      </w:r>
      <w:r w:rsidRPr="008B493A">
        <w:rPr>
          <w:lang w:val="fr-FR"/>
        </w:rPr>
        <w:br/>
        <w:t>p. 98 (III, 1-4).</w:t>
      </w:r>
    </w:p>
  </w:footnote>
  <w:footnote w:id="41">
    <w:p w14:paraId="62D34406" w14:textId="77777777" w:rsidR="007408BC" w:rsidRPr="008B493A" w:rsidRDefault="00000000">
      <w:pPr>
        <w:pStyle w:val="Footnote10"/>
        <w:tabs>
          <w:tab w:val="left" w:pos="398"/>
        </w:tabs>
        <w:spacing w:line="240" w:lineRule="auto"/>
        <w:ind w:hanging="400"/>
        <w:rPr>
          <w:lang w:val="fr-FR"/>
        </w:rPr>
      </w:pPr>
      <w:r>
        <w:footnoteRef/>
      </w:r>
      <w:r w:rsidRPr="008B493A">
        <w:rPr>
          <w:lang w:val="fr-FR"/>
        </w:rPr>
        <w:tab/>
        <w:t xml:space="preserve">Bernard Lamy, </w:t>
      </w:r>
      <w:r w:rsidRPr="008B493A">
        <w:rPr>
          <w:i/>
          <w:iCs/>
          <w:lang w:val="fr-FR"/>
        </w:rPr>
        <w:t>La rhétorique ou T</w:t>
      </w:r>
      <w:r w:rsidRPr="008B493A">
        <w:rPr>
          <w:i/>
          <w:iCs/>
          <w:shd w:val="clear" w:color="auto" w:fill="80FFFF"/>
          <w:lang w:val="fr-FR"/>
        </w:rPr>
        <w:t>a</w:t>
      </w:r>
      <w:r w:rsidRPr="008B493A">
        <w:rPr>
          <w:i/>
          <w:iCs/>
          <w:lang w:val="fr-FR"/>
        </w:rPr>
        <w:t>rt de parler</w:t>
      </w:r>
      <w:r w:rsidRPr="008B493A">
        <w:rPr>
          <w:lang w:val="fr-FR"/>
        </w:rPr>
        <w:t xml:space="preserve"> (</w:t>
      </w:r>
      <w:r w:rsidRPr="008B493A">
        <w:rPr>
          <w:shd w:val="clear" w:color="auto" w:fill="80FFFF"/>
          <w:lang w:val="fr-FR"/>
        </w:rPr>
        <w:t>16</w:t>
      </w:r>
      <w:r w:rsidRPr="008B493A">
        <w:rPr>
          <w:lang w:val="fr-FR"/>
        </w:rPr>
        <w:t>75), ed. Christine Noille-Clauzade,</w:t>
      </w:r>
      <w:r w:rsidRPr="008B493A">
        <w:rPr>
          <w:lang w:val="fr-FR"/>
        </w:rPr>
        <w:br/>
        <w:t xml:space="preserve">Paris, Champion, 1998, p. </w:t>
      </w:r>
      <w:r w:rsidRPr="008B493A">
        <w:rPr>
          <w:shd w:val="clear" w:color="auto" w:fill="80FFFF"/>
          <w:lang w:val="fr-FR"/>
        </w:rPr>
        <w:t>11</w:t>
      </w:r>
      <w:r w:rsidRPr="008B493A">
        <w:rPr>
          <w:lang w:val="fr-FR"/>
        </w:rPr>
        <w:t>4.</w:t>
      </w:r>
    </w:p>
  </w:footnote>
  <w:footnote w:id="42">
    <w:p w14:paraId="5DE5895F" w14:textId="77777777" w:rsidR="007408BC" w:rsidRPr="008B493A" w:rsidRDefault="00000000">
      <w:pPr>
        <w:pStyle w:val="Footnote10"/>
        <w:tabs>
          <w:tab w:val="left" w:pos="384"/>
        </w:tabs>
        <w:ind w:left="380" w:hanging="380"/>
        <w:jc w:val="both"/>
        <w:rPr>
          <w:lang w:val="fr-FR"/>
        </w:rPr>
      </w:pPr>
      <w:r>
        <w:footnoteRef/>
      </w:r>
      <w:r w:rsidRPr="008B493A">
        <w:rPr>
          <w:lang w:val="fr-FR"/>
        </w:rPr>
        <w:tab/>
        <w:t xml:space="preserve">Jacqueline Lichtenstein, </w:t>
      </w:r>
      <w:r w:rsidRPr="008B493A">
        <w:rPr>
          <w:i/>
          <w:iCs/>
          <w:lang w:val="fr-FR"/>
        </w:rPr>
        <w:t xml:space="preserve">op. </w:t>
      </w:r>
      <w:proofErr w:type="gramStart"/>
      <w:r w:rsidRPr="008B493A">
        <w:rPr>
          <w:i/>
          <w:iCs/>
          <w:lang w:val="fr-FR"/>
        </w:rPr>
        <w:t>ci</w:t>
      </w:r>
      <w:r w:rsidRPr="008B493A">
        <w:rPr>
          <w:i/>
          <w:iCs/>
          <w:shd w:val="clear" w:color="auto" w:fill="80FFFF"/>
          <w:lang w:val="fr-FR"/>
        </w:rPr>
        <w:t>t</w:t>
      </w:r>
      <w:proofErr w:type="gramEnd"/>
      <w:r w:rsidRPr="008B493A">
        <w:rPr>
          <w:lang w:val="fr-FR"/>
        </w:rPr>
        <w:t>., p. 80 and 235. Such a concession—essential, in</w:t>
      </w:r>
      <w:r w:rsidRPr="008B493A">
        <w:rPr>
          <w:lang w:val="fr-FR"/>
        </w:rPr>
        <w:br/>
        <w:t xml:space="preserve">my view—works not only against Marion Hobsons thesis </w:t>
      </w:r>
      <w:r w:rsidRPr="008B493A">
        <w:rPr>
          <w:i/>
          <w:iCs/>
          <w:shd w:val="clear" w:color="auto" w:fill="80FFFF"/>
          <w:lang w:val="fr-FR"/>
        </w:rPr>
        <w:t>(</w:t>
      </w:r>
      <w:r w:rsidRPr="008B493A">
        <w:rPr>
          <w:i/>
          <w:iCs/>
          <w:lang w:val="fr-FR"/>
        </w:rPr>
        <w:t>op</w:t>
      </w:r>
      <w:r w:rsidRPr="008B493A">
        <w:rPr>
          <w:i/>
          <w:iCs/>
          <w:shd w:val="clear" w:color="auto" w:fill="80FFFF"/>
          <w:lang w:val="fr-FR"/>
        </w:rPr>
        <w:t>.</w:t>
      </w:r>
      <w:r w:rsidRPr="008B493A">
        <w:rPr>
          <w:i/>
          <w:iCs/>
          <w:lang w:val="fr-FR"/>
        </w:rPr>
        <w:t xml:space="preserve"> </w:t>
      </w:r>
      <w:proofErr w:type="gramStart"/>
      <w:r w:rsidRPr="008B493A">
        <w:rPr>
          <w:i/>
          <w:iCs/>
          <w:lang w:val="fr-FR"/>
        </w:rPr>
        <w:t>cit</w:t>
      </w:r>
      <w:r w:rsidRPr="008B493A">
        <w:rPr>
          <w:i/>
          <w:iCs/>
          <w:shd w:val="clear" w:color="auto" w:fill="80FFFF"/>
          <w:lang w:val="fr-FR"/>
        </w:rPr>
        <w:t>é</w:t>
      </w:r>
      <w:proofErr w:type="gramEnd"/>
      <w:r w:rsidRPr="008B493A">
        <w:rPr>
          <w:i/>
          <w:iCs/>
          <w:shd w:val="clear" w:color="auto" w:fill="80FFFF"/>
          <w:lang w:val="fr-FR"/>
        </w:rPr>
        <w:t>)</w:t>
      </w:r>
      <w:r w:rsidRPr="008B493A">
        <w:rPr>
          <w:i/>
          <w:iCs/>
          <w:lang w:val="fr-FR"/>
        </w:rPr>
        <w:t>,</w:t>
      </w:r>
      <w:r w:rsidRPr="008B493A">
        <w:rPr>
          <w:lang w:val="fr-FR"/>
        </w:rPr>
        <w:t xml:space="preserve"> but also against</w:t>
      </w:r>
      <w:r w:rsidRPr="008B493A">
        <w:rPr>
          <w:lang w:val="fr-FR"/>
        </w:rPr>
        <w:br/>
        <w:t xml:space="preserve">Lichtensteins own arguments for seeing Roger de Pile’s work on </w:t>
      </w:r>
      <w:r w:rsidRPr="008B493A">
        <w:rPr>
          <w:i/>
          <w:iCs/>
          <w:lang w:val="fr-FR"/>
        </w:rPr>
        <w:t>coloris</w:t>
      </w:r>
      <w:r w:rsidRPr="008B493A">
        <w:rPr>
          <w:lang w:val="fr-FR"/>
        </w:rPr>
        <w:t xml:space="preserve"> as an aesthetic</w:t>
      </w:r>
      <w:r w:rsidRPr="008B493A">
        <w:rPr>
          <w:lang w:val="fr-FR"/>
        </w:rPr>
        <w:br/>
        <w:t xml:space="preserve">watershed; see Jacqueline Lichtenstein, </w:t>
      </w:r>
      <w:r w:rsidRPr="008B493A">
        <w:rPr>
          <w:i/>
          <w:iCs/>
          <w:lang w:val="fr-FR"/>
        </w:rPr>
        <w:t>La Couleur éloquent</w:t>
      </w:r>
      <w:r w:rsidRPr="008B493A">
        <w:rPr>
          <w:i/>
          <w:iCs/>
          <w:shd w:val="clear" w:color="auto" w:fill="80FFFF"/>
          <w:lang w:val="fr-FR"/>
        </w:rPr>
        <w:t>e:</w:t>
      </w:r>
      <w:r w:rsidRPr="008B493A">
        <w:rPr>
          <w:i/>
          <w:iCs/>
          <w:lang w:val="fr-FR"/>
        </w:rPr>
        <w:t xml:space="preserve"> Rhétorique et peinture à</w:t>
      </w:r>
      <w:r w:rsidRPr="008B493A">
        <w:rPr>
          <w:i/>
          <w:iCs/>
          <w:lang w:val="fr-FR"/>
        </w:rPr>
        <w:br/>
        <w:t>T</w:t>
      </w:r>
      <w:r w:rsidRPr="008B493A">
        <w:rPr>
          <w:i/>
          <w:iCs/>
          <w:shd w:val="clear" w:color="auto" w:fill="80FFFF"/>
          <w:lang w:val="fr-FR"/>
        </w:rPr>
        <w:t xml:space="preserve"> </w:t>
      </w:r>
      <w:r w:rsidRPr="008B493A">
        <w:rPr>
          <w:i/>
          <w:iCs/>
          <w:lang w:val="fr-FR"/>
        </w:rPr>
        <w:t>âge classique,</w:t>
      </w:r>
      <w:r w:rsidRPr="008B493A">
        <w:rPr>
          <w:lang w:val="fr-FR"/>
        </w:rPr>
        <w:t xml:space="preserve"> Paris, Flammarion, 1989.</w:t>
      </w:r>
    </w:p>
  </w:footnote>
  <w:footnote w:id="43">
    <w:p w14:paraId="49D3F0A1" w14:textId="77777777" w:rsidR="007408BC" w:rsidRDefault="00000000">
      <w:pPr>
        <w:pStyle w:val="Footnote10"/>
        <w:tabs>
          <w:tab w:val="left" w:pos="403"/>
        </w:tabs>
        <w:ind w:hanging="400"/>
        <w:jc w:val="both"/>
      </w:pPr>
      <w:r>
        <w:rPr>
          <w:shd w:val="clear" w:color="auto" w:fill="FFFFFF"/>
        </w:rPr>
        <w:footnoteRef/>
      </w:r>
      <w:r w:rsidRPr="008B493A">
        <w:rPr>
          <w:lang w:val="fr-FR"/>
        </w:rPr>
        <w:tab/>
        <w:t xml:space="preserve">See Kate E. Tunstall, </w:t>
      </w:r>
      <w:r w:rsidRPr="008B493A">
        <w:rPr>
          <w:shd w:val="clear" w:color="auto" w:fill="80FFFF"/>
          <w:lang w:val="fr-FR"/>
        </w:rPr>
        <w:t>“</w:t>
      </w:r>
      <w:r w:rsidRPr="008B493A">
        <w:rPr>
          <w:lang w:val="fr-FR"/>
        </w:rPr>
        <w:t xml:space="preserve">Diderot, Chardin et la matière sensible”, </w:t>
      </w:r>
      <w:r w:rsidRPr="008B493A">
        <w:rPr>
          <w:i/>
          <w:iCs/>
          <w:lang w:val="fr-FR"/>
        </w:rPr>
        <w:t>Dix</w:t>
      </w:r>
      <w:r w:rsidRPr="008B493A">
        <w:rPr>
          <w:i/>
          <w:iCs/>
          <w:shd w:val="clear" w:color="auto" w:fill="80FFFF"/>
          <w:lang w:val="fr-FR"/>
        </w:rPr>
        <w:t>-</w:t>
      </w:r>
      <w:r w:rsidRPr="008B493A">
        <w:rPr>
          <w:i/>
          <w:iCs/>
          <w:lang w:val="fr-FR"/>
        </w:rPr>
        <w:t>Huit</w:t>
      </w:r>
      <w:r w:rsidRPr="008B493A">
        <w:rPr>
          <w:i/>
          <w:iCs/>
          <w:shd w:val="clear" w:color="auto" w:fill="80FFFF"/>
          <w:lang w:val="fr-FR"/>
        </w:rPr>
        <w:t>i</w:t>
      </w:r>
      <w:r w:rsidRPr="008B493A">
        <w:rPr>
          <w:i/>
          <w:iCs/>
          <w:lang w:val="fr-FR"/>
        </w:rPr>
        <w:t>ème Siècle</w:t>
      </w:r>
      <w:r w:rsidRPr="008B493A">
        <w:rPr>
          <w:i/>
          <w:iCs/>
          <w:lang w:val="fr-FR"/>
        </w:rPr>
        <w:br/>
      </w:r>
      <w:r w:rsidRPr="008B493A">
        <w:rPr>
          <w:lang w:val="fr-FR"/>
        </w:rPr>
        <w:t>39 (2007), p. 586</w:t>
      </w:r>
      <w:r w:rsidRPr="008B493A">
        <w:rPr>
          <w:shd w:val="clear" w:color="auto" w:fill="80FFFF"/>
          <w:lang w:val="fr-FR"/>
        </w:rPr>
        <w:t>-</w:t>
      </w:r>
      <w:r w:rsidRPr="008B493A">
        <w:rPr>
          <w:lang w:val="fr-FR"/>
        </w:rPr>
        <w:t xml:space="preserve">87. </w:t>
      </w:r>
      <w:r>
        <w:t>As stimulating as her reading of the Chardin passages is,</w:t>
      </w:r>
      <w:r>
        <w:br/>
        <w:t>Tunstall too is ultimately committed to Diderot’s subversion of the hierarchy of the</w:t>
      </w:r>
      <w:r>
        <w:br/>
        <w:t>genres (p. 593).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B30D5"/>
    <w:multiLevelType w:val="multilevel"/>
    <w:tmpl w:val="3E20BC9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040AE8"/>
    <w:multiLevelType w:val="multilevel"/>
    <w:tmpl w:val="37F0554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422AD5"/>
    <w:multiLevelType w:val="multilevel"/>
    <w:tmpl w:val="D570A20C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E850BF"/>
    <w:multiLevelType w:val="multilevel"/>
    <w:tmpl w:val="CBBC97AC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5438600">
    <w:abstractNumId w:val="1"/>
  </w:num>
  <w:num w:numId="2" w16cid:durableId="956642192">
    <w:abstractNumId w:val="0"/>
  </w:num>
  <w:num w:numId="3" w16cid:durableId="97215003">
    <w:abstractNumId w:val="2"/>
  </w:num>
  <w:num w:numId="4" w16cid:durableId="10952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BC"/>
    <w:rsid w:val="005D7485"/>
    <w:rsid w:val="007408BC"/>
    <w:rsid w:val="008B493A"/>
    <w:rsid w:val="00E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5CDF1"/>
  <w15:docId w15:val="{CC993689-7420-1A42-A740-A6C87F9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1">
    <w:name w:val="Footnote|1_"/>
    <w:basedOn w:val="DefaultParagraphFont"/>
    <w:link w:val="Footnote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1">
    <w:name w:val="Heading #1|1_"/>
    <w:basedOn w:val="DefaultParagraphFont"/>
    <w:link w:val="Heading110"/>
    <w:rPr>
      <w:b w:val="0"/>
      <w:bCs w:val="0"/>
      <w:i w:val="0"/>
      <w:iCs w:val="0"/>
      <w:smallCaps w:val="0"/>
      <w:strike w:val="0"/>
      <w:sz w:val="58"/>
      <w:szCs w:val="58"/>
      <w:u w:val="none"/>
      <w:shd w:val="clear" w:color="auto" w:fill="auto"/>
    </w:rPr>
  </w:style>
  <w:style w:type="character" w:customStyle="1" w:styleId="Heading21">
    <w:name w:val="Heading #2|1_"/>
    <w:basedOn w:val="DefaultParagraphFont"/>
    <w:link w:val="Heading210"/>
    <w:rPr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1">
    <w:name w:val="Body text|1_"/>
    <w:basedOn w:val="DefaultParagraphFont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DefaultParagraphFont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Footnote10">
    <w:name w:val="Footnote|1"/>
    <w:basedOn w:val="Normal"/>
    <w:link w:val="Footnote1"/>
    <w:pPr>
      <w:spacing w:line="254" w:lineRule="auto"/>
      <w:ind w:left="400" w:hanging="390"/>
    </w:pPr>
    <w:rPr>
      <w:sz w:val="17"/>
      <w:szCs w:val="17"/>
    </w:rPr>
  </w:style>
  <w:style w:type="paragraph" w:customStyle="1" w:styleId="Heading110">
    <w:name w:val="Heading #1|1"/>
    <w:basedOn w:val="Normal"/>
    <w:link w:val="Heading11"/>
    <w:pPr>
      <w:spacing w:after="380"/>
      <w:jc w:val="center"/>
      <w:outlineLvl w:val="0"/>
    </w:pPr>
    <w:rPr>
      <w:sz w:val="58"/>
      <w:szCs w:val="58"/>
    </w:rPr>
  </w:style>
  <w:style w:type="paragraph" w:customStyle="1" w:styleId="Heading210">
    <w:name w:val="Heading #2|1"/>
    <w:basedOn w:val="Normal"/>
    <w:link w:val="Heading21"/>
    <w:pPr>
      <w:spacing w:before="550" w:after="530"/>
      <w:jc w:val="center"/>
      <w:outlineLvl w:val="1"/>
    </w:pPr>
    <w:rPr>
      <w:sz w:val="34"/>
      <w:szCs w:val="34"/>
    </w:rPr>
  </w:style>
  <w:style w:type="paragraph" w:customStyle="1" w:styleId="Bodytext10">
    <w:name w:val="Body text|1"/>
    <w:basedOn w:val="Normal"/>
    <w:link w:val="Bodytext1"/>
    <w:pPr>
      <w:spacing w:line="290" w:lineRule="auto"/>
      <w:ind w:firstLine="280"/>
    </w:pPr>
    <w:rPr>
      <w:sz w:val="20"/>
      <w:szCs w:val="20"/>
    </w:rPr>
  </w:style>
  <w:style w:type="paragraph" w:customStyle="1" w:styleId="Bodytext30">
    <w:name w:val="Body text|3"/>
    <w:basedOn w:val="Normal"/>
    <w:link w:val="Bodytext3"/>
    <w:pPr>
      <w:spacing w:after="560"/>
      <w:jc w:val="center"/>
    </w:pPr>
    <w:rPr>
      <w:sz w:val="28"/>
      <w:szCs w:val="28"/>
    </w:rPr>
  </w:style>
  <w:style w:type="paragraph" w:customStyle="1" w:styleId="Bodytext20">
    <w:name w:val="Body text|2"/>
    <w:basedOn w:val="Normal"/>
    <w:link w:val="Bodytext2"/>
    <w:pPr>
      <w:spacing w:after="100" w:line="288" w:lineRule="auto"/>
      <w:ind w:left="58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5042</Words>
  <Characters>28743</Characters>
  <Application>Microsoft Office Word</Application>
  <DocSecurity>0</DocSecurity>
  <Lines>239</Lines>
  <Paragraphs>67</Paragraphs>
  <ScaleCrop>false</ScaleCrop>
  <Company/>
  <LinksUpToDate>false</LinksUpToDate>
  <CharactersWithSpaces>33718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Paige</cp:lastModifiedBy>
  <cp:revision>3</cp:revision>
  <dcterms:created xsi:type="dcterms:W3CDTF">2022-12-07T21:54:00Z</dcterms:created>
  <dcterms:modified xsi:type="dcterms:W3CDTF">2022-12-07T21:56:00Z</dcterms:modified>
</cp:coreProperties>
</file>